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napToGrid w:val="0"/>
        <w:spacing w:beforeLines="0" w:afterLines="0" w:line="120" w:lineRule="auto"/>
        <w:rPr>
          <w:rFonts w:hint="eastAsia" w:ascii="黑体" w:hAnsi="黑体" w:eastAsia="黑体" w:cs="黑体"/>
          <w:sz w:val="32"/>
          <w:szCs w:val="32"/>
          <w:lang w:val="en-US" w:eastAsia="zh-CN"/>
        </w:rPr>
      </w:pPr>
    </w:p>
    <w:p>
      <w:pPr>
        <w:widowControl w:val="0"/>
        <w:numPr>
          <w:ilvl w:val="0"/>
          <w:numId w:val="0"/>
        </w:numPr>
        <w:wordWrap/>
        <w:adjustRightInd/>
        <w:snapToGrid/>
        <w:spacing w:before="0" w:beforeLines="0" w:after="0" w:afterLines="0" w:line="500" w:lineRule="exact"/>
        <w:ind w:left="0" w:leftChars="0" w:right="0" w:firstLine="0" w:firstLineChars="0"/>
        <w:jc w:val="center"/>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廉政承诺书</w:t>
      </w:r>
    </w:p>
    <w:p>
      <w:pPr>
        <w:widowControl w:val="0"/>
        <w:numPr>
          <w:ilvl w:val="0"/>
          <w:numId w:val="0"/>
        </w:numPr>
        <w:wordWrap/>
        <w:adjustRightInd/>
        <w:snapToGrid/>
        <w:spacing w:before="0" w:beforeLines="0" w:after="0" w:afterLines="0" w:line="500" w:lineRule="exact"/>
        <w:ind w:left="0" w:leftChars="0" w:right="0" w:firstLine="0" w:firstLineChars="0"/>
        <w:jc w:val="center"/>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lang w:val="en-US" w:eastAsia="zh-CN"/>
        </w:rPr>
        <w:t>绍兴市财政局</w:t>
      </w:r>
      <w:r>
        <w:rPr>
          <w:rFonts w:hint="eastAsia" w:ascii="仿宋_GB2312" w:hAnsi="仿宋_GB2312" w:eastAsia="仿宋_GB2312" w:cs="仿宋_GB2312"/>
          <w:b w:val="0"/>
          <w:bCs w:val="0"/>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none"/>
          <w:lang w:val="en-US" w:eastAsia="zh-CN"/>
        </w:rPr>
        <w:t>根据《绍兴市市级财政专户资金竞争性存放考核管理办法》（绍市财金〔2020〕14号）、《绍兴市市级财政专户资金竞争性存放管理操作规程》（绍市财金〔2019〕9号）等相关规定，如本行确定为</w:t>
      </w: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u w:val="none" w:color="auto"/>
          <w:lang w:val="en-US" w:eastAsia="zh-CN"/>
        </w:rPr>
        <w:t>绍兴市市级财政专户资金竞争性存放参与银行，承诺如下：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none" w:color="auto"/>
          <w:lang w:val="en-US" w:eastAsia="zh-CN"/>
        </w:rPr>
        <w:t xml:space="preserve">    1.不向贵单位负责市级财政专户资金竞争性存放的领导及相关人员进行利益输送；</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不将市级财政专户资金竞争性存放与贵单位负责市级财政专户资金竞争性存放的领导及相关人员在本行的</w:t>
      </w:r>
      <w:r>
        <w:rPr>
          <w:rFonts w:hint="eastAsia" w:ascii="仿宋_GB2312" w:hAnsi="仿宋_GB2312" w:eastAsia="仿宋_GB2312" w:cs="仿宋_GB2312"/>
          <w:sz w:val="32"/>
          <w:szCs w:val="32"/>
        </w:rPr>
        <w:t>配偶、子女及其配偶和其他直接利益相关人员</w:t>
      </w:r>
      <w:r>
        <w:rPr>
          <w:rFonts w:hint="eastAsia" w:ascii="仿宋_GB2312" w:hAnsi="仿宋_GB2312" w:eastAsia="仿宋_GB2312" w:cs="仿宋_GB2312"/>
          <w:b w:val="0"/>
          <w:bCs w:val="0"/>
          <w:sz w:val="32"/>
          <w:szCs w:val="32"/>
          <w:u w:val="none"/>
          <w:lang w:val="en-US" w:eastAsia="zh-CN"/>
        </w:rPr>
        <w:t>的业绩、收入、晋升等利益挂钩；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419" w:firstLineChars="131"/>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3.</w:t>
      </w:r>
      <w:r>
        <w:rPr>
          <w:rFonts w:hint="eastAsia" w:ascii="仿宋_GB2312" w:hAnsi="仿宋_GB2312" w:eastAsia="仿宋_GB2312" w:cs="仿宋_GB2312"/>
          <w:sz w:val="32"/>
          <w:szCs w:val="32"/>
        </w:rPr>
        <w:t>严格执行</w:t>
      </w:r>
      <w:r>
        <w:rPr>
          <w:rFonts w:hint="eastAsia" w:ascii="仿宋_GB2312" w:hAnsi="仿宋_GB2312" w:eastAsia="仿宋_GB2312" w:cs="仿宋_GB2312"/>
          <w:sz w:val="32"/>
          <w:szCs w:val="32"/>
          <w:lang w:eastAsia="zh-CN"/>
        </w:rPr>
        <w:t>利益</w:t>
      </w:r>
      <w:r>
        <w:rPr>
          <w:rFonts w:hint="eastAsia" w:ascii="仿宋_GB2312" w:hAnsi="仿宋_GB2312" w:eastAsia="仿宋_GB2312" w:cs="仿宋_GB2312"/>
          <w:sz w:val="32"/>
          <w:szCs w:val="32"/>
        </w:rPr>
        <w:t>回避制度，贵单位负责</w:t>
      </w:r>
      <w:r>
        <w:rPr>
          <w:rFonts w:hint="eastAsia" w:ascii="仿宋_GB2312" w:hAnsi="仿宋_GB2312" w:eastAsia="仿宋_GB2312" w:cs="仿宋_GB2312"/>
          <w:sz w:val="32"/>
          <w:szCs w:val="32"/>
          <w:lang w:eastAsia="zh-CN"/>
        </w:rPr>
        <w:t>市级财政专户资金竞争性存放</w:t>
      </w:r>
      <w:r>
        <w:rPr>
          <w:rFonts w:hint="eastAsia" w:ascii="仿宋_GB2312" w:hAnsi="仿宋_GB2312" w:eastAsia="仿宋_GB2312" w:cs="仿宋_GB2312"/>
          <w:sz w:val="32"/>
          <w:szCs w:val="32"/>
        </w:rPr>
        <w:t>相关人员的配偶、子女及其配偶和其他直接利益相关人员</w:t>
      </w:r>
      <w:r>
        <w:rPr>
          <w:rFonts w:hint="eastAsia" w:ascii="仿宋_GB2312" w:hAnsi="仿宋_GB2312" w:eastAsia="仿宋_GB2312" w:cs="仿宋_GB2312"/>
          <w:sz w:val="32"/>
          <w:szCs w:val="32"/>
          <w:lang w:eastAsia="zh-CN"/>
        </w:rPr>
        <w:t>为本行工作人员的，不参与市级财政专户资金竞争性存放</w:t>
      </w:r>
      <w:r>
        <w:rPr>
          <w:rFonts w:hint="eastAsia" w:ascii="仿宋_GB2312" w:hAnsi="仿宋_GB2312" w:eastAsia="仿宋_GB2312" w:cs="仿宋_GB2312"/>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420" w:leftChars="200" w:right="0" w:rightChars="0" w:firstLine="0" w:firstLineChars="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4.不发生除上述行为之外的其他任何利益输送行为。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未遵守以上承诺的，本行自愿接受财政部门通报和处理，退出2021年度绍兴市市级财政专户资金竞争性存放参与银行团，并承担相应的一切后果。</w:t>
      </w: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20" w:lineRule="exact"/>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u w:val="single" w:color="auto"/>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20" w:lineRule="exact"/>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single" w:color="auto"/>
          <w:lang w:val="en-US" w:eastAsia="zh-CN"/>
        </w:rPr>
        <w:t xml:space="preserve">        </w:t>
      </w:r>
      <w:r>
        <w:rPr>
          <w:rFonts w:hint="eastAsia" w:ascii="仿宋_GB2312" w:hAnsi="仿宋_GB2312" w:eastAsia="仿宋_GB2312" w:cs="仿宋_GB2312"/>
          <w:b w:val="0"/>
          <w:bCs w:val="0"/>
          <w:sz w:val="32"/>
          <w:szCs w:val="32"/>
          <w:u w:val="none" w:color="auto"/>
          <w:lang w:val="en-US" w:eastAsia="zh-CN"/>
        </w:rPr>
        <w:t xml:space="preserve">银行（公章）    </w:t>
      </w:r>
    </w:p>
    <w:p>
      <w:r>
        <w:rPr>
          <w:rFonts w:hint="eastAsia" w:ascii="仿宋_GB2312" w:hAnsi="仿宋_GB2312" w:eastAsia="仿宋_GB2312" w:cs="仿宋_GB2312"/>
          <w:b w:val="0"/>
          <w:bCs w:val="0"/>
          <w:sz w:val="32"/>
          <w:szCs w:val="32"/>
          <w:u w:val="none"/>
          <w:lang w:val="en-US" w:eastAsia="zh-CN"/>
        </w:rPr>
        <w:t xml:space="preserve">                                    年  月  日  </w:t>
      </w:r>
      <w:bookmarkStart w:id="0" w:name="_GoBack"/>
      <w:bookmarkEnd w:id="0"/>
    </w:p>
    <w:sectPr>
      <w:pgSz w:w="11906" w:h="16838"/>
      <w:pgMar w:top="1440" w:right="1800" w:bottom="1440" w:left="1800" w:header="851" w:footer="992" w:gutter="0"/>
      <w:pgNumType w:fmt="decimal" w:start="2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创艺简标宋">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B6C9"/>
    <w:multiLevelType w:val="singleLevel"/>
    <w:tmpl w:val="5959B6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97900"/>
    <w:rsid w:val="6439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2021-05-11T07:02:00Z</dcterms:created>
  <dc:creator>童颖</dc:creator>
  <cp:lastModifiedBy>童颖</cp:lastModifiedBy>
  <dcterms:modified xsi:type="dcterms:W3CDTF">2021-05-11T07:07:05Z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