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b/>
          <w:color w:val="auto"/>
          <w:sz w:val="36"/>
          <w:szCs w:val="36"/>
          <w:highlight w:val="none"/>
        </w:rPr>
      </w:pPr>
      <w:bookmarkStart w:id="1" w:name="_GoBack"/>
      <w:bookmarkEnd w:id="1"/>
      <w:r>
        <w:rPr>
          <w:rFonts w:hint="eastAsia" w:ascii="仿宋" w:hAnsi="仿宋" w:eastAsia="仿宋"/>
          <w:b/>
          <w:color w:val="auto"/>
          <w:sz w:val="36"/>
          <w:szCs w:val="36"/>
          <w:highlight w:val="none"/>
        </w:rPr>
        <w:t>绍兴市财政局21.4竣工财务决算审核委托中介机构项目（重招）谈判公告</w:t>
      </w:r>
    </w:p>
    <w:p>
      <w:pPr>
        <w:pStyle w:val="6"/>
        <w:spacing w:after="156" w:line="440" w:lineRule="exact"/>
        <w:ind w:firstLine="480"/>
        <w:rPr>
          <w:rFonts w:hint="eastAsia" w:ascii="仿宋" w:hAnsi="仿宋" w:eastAsia="仿宋" w:cs="宋体"/>
          <w:color w:val="auto"/>
          <w:highlight w:val="none"/>
          <w:lang w:val="en-US"/>
        </w:rPr>
      </w:pPr>
      <w:r>
        <w:rPr>
          <w:rFonts w:hint="eastAsia" w:ascii="仿宋" w:hAnsi="仿宋" w:eastAsia="仿宋" w:cs="宋体"/>
          <w:color w:val="auto"/>
          <w:highlight w:val="none"/>
          <w:lang w:val="en-US"/>
        </w:rPr>
        <w:t>根据《中华人民共和国政府采购法》等有关法律规定，经绍兴市政府采购管理部门批准，</w:t>
      </w:r>
      <w:r>
        <w:rPr>
          <w:rFonts w:hint="eastAsia" w:ascii="仿宋" w:hAnsi="仿宋" w:eastAsia="仿宋" w:cs="宋体"/>
          <w:color w:val="auto"/>
          <w:highlight w:val="none"/>
          <w:lang w:val="en-US" w:eastAsia="zh-CN"/>
        </w:rPr>
        <w:t>绍兴市奋进工程造价咨询有限公司</w:t>
      </w:r>
      <w:r>
        <w:rPr>
          <w:rFonts w:hint="eastAsia" w:ascii="仿宋" w:hAnsi="仿宋" w:eastAsia="仿宋" w:cs="宋体"/>
          <w:color w:val="auto"/>
          <w:highlight w:val="none"/>
          <w:lang w:val="en-US"/>
        </w:rPr>
        <w:t>受</w:t>
      </w:r>
      <w:r>
        <w:rPr>
          <w:rFonts w:hint="eastAsia" w:ascii="仿宋" w:hAnsi="仿宋" w:eastAsia="仿宋" w:cs="宋体"/>
          <w:b/>
          <w:color w:val="auto"/>
          <w:highlight w:val="none"/>
          <w:lang w:val="en-US"/>
        </w:rPr>
        <w:t>绍兴市财政局</w:t>
      </w:r>
      <w:r>
        <w:rPr>
          <w:rFonts w:hint="eastAsia" w:ascii="仿宋" w:hAnsi="仿宋" w:eastAsia="仿宋" w:cs="宋体"/>
          <w:color w:val="auto"/>
          <w:highlight w:val="none"/>
          <w:lang w:val="en-US"/>
        </w:rPr>
        <w:t>委托，就下列项目进行</w:t>
      </w:r>
      <w:r>
        <w:rPr>
          <w:rFonts w:hint="eastAsia" w:ascii="仿宋" w:hAnsi="仿宋" w:eastAsia="仿宋" w:cs="宋体"/>
          <w:b/>
          <w:color w:val="auto"/>
          <w:highlight w:val="none"/>
          <w:lang w:val="en-US"/>
        </w:rPr>
        <w:t>竞争性谈判</w:t>
      </w:r>
      <w:r>
        <w:rPr>
          <w:rFonts w:hint="eastAsia" w:ascii="仿宋" w:hAnsi="仿宋" w:eastAsia="仿宋" w:cs="宋体"/>
          <w:color w:val="auto"/>
          <w:highlight w:val="none"/>
          <w:lang w:val="en-US"/>
        </w:rPr>
        <w:t>采购，现将有关事项公告如下：</w:t>
      </w:r>
    </w:p>
    <w:p>
      <w:pPr>
        <w:pStyle w:val="6"/>
        <w:spacing w:afterLines="0" w:line="440" w:lineRule="exact"/>
        <w:ind w:firstLine="480"/>
        <w:rPr>
          <w:rFonts w:hint="default" w:ascii="仿宋" w:hAnsi="仿宋" w:eastAsia="仿宋" w:cs="Arial"/>
          <w:b/>
          <w:color w:val="auto"/>
          <w:highlight w:val="none"/>
          <w:lang w:val="en-US" w:eastAsia="zh-CN"/>
        </w:rPr>
      </w:pPr>
      <w:r>
        <w:rPr>
          <w:rFonts w:hint="eastAsia" w:ascii="仿宋" w:hAnsi="仿宋" w:eastAsia="仿宋" w:cs="宋体"/>
          <w:color w:val="auto"/>
          <w:szCs w:val="24"/>
          <w:highlight w:val="none"/>
          <w:lang w:val="en-US"/>
        </w:rPr>
        <w:t>一、</w:t>
      </w:r>
      <w:r>
        <w:rPr>
          <w:rFonts w:hint="eastAsia" w:ascii="仿宋" w:hAnsi="仿宋" w:eastAsia="仿宋" w:cs="宋体"/>
          <w:b/>
          <w:bCs/>
          <w:color w:val="auto"/>
          <w:szCs w:val="24"/>
          <w:highlight w:val="none"/>
          <w:lang w:val="en-US" w:eastAsia="zh-CN"/>
        </w:rPr>
        <w:t>谈判</w:t>
      </w:r>
      <w:r>
        <w:rPr>
          <w:rFonts w:hint="eastAsia" w:ascii="仿宋" w:hAnsi="仿宋" w:eastAsia="仿宋" w:cs="宋体"/>
          <w:b/>
          <w:bCs/>
          <w:color w:val="auto"/>
          <w:szCs w:val="24"/>
          <w:highlight w:val="none"/>
          <w:lang w:val="en-US"/>
        </w:rPr>
        <w:t>编号：</w:t>
      </w:r>
      <w:r>
        <w:rPr>
          <w:rFonts w:hint="eastAsia" w:ascii="仿宋" w:hAnsi="仿宋" w:eastAsia="仿宋" w:cs="宋体"/>
          <w:b/>
          <w:bCs/>
          <w:color w:val="auto"/>
          <w:szCs w:val="24"/>
          <w:highlight w:val="none"/>
          <w:lang w:val="en-US" w:eastAsia="zh-CN"/>
        </w:rPr>
        <w:t>SXFJ2021-TP-002</w:t>
      </w:r>
    </w:p>
    <w:p>
      <w:pPr>
        <w:pStyle w:val="6"/>
        <w:spacing w:afterLines="0" w:line="440" w:lineRule="exact"/>
        <w:ind w:firstLine="482"/>
        <w:rPr>
          <w:rFonts w:ascii="仿宋" w:hAnsi="仿宋" w:eastAsia="仿宋" w:cs="Arial"/>
          <w:b/>
          <w:color w:val="auto"/>
          <w:highlight w:val="none"/>
        </w:rPr>
      </w:pPr>
      <w:r>
        <w:rPr>
          <w:rFonts w:hint="eastAsia" w:ascii="仿宋" w:hAnsi="仿宋" w:eastAsia="仿宋" w:cs="Arial"/>
          <w:b/>
          <w:color w:val="auto"/>
          <w:highlight w:val="none"/>
        </w:rPr>
        <w:t>二、采购组织类型及方式：自行采购—竞争性谈判</w:t>
      </w:r>
    </w:p>
    <w:p>
      <w:pPr>
        <w:spacing w:line="440" w:lineRule="exact"/>
        <w:ind w:firstLine="480" w:firstLineChars="200"/>
        <w:rPr>
          <w:rFonts w:ascii="仿宋" w:hAnsi="仿宋" w:eastAsia="仿宋" w:cs="Arial"/>
          <w:b/>
          <w:bCs/>
          <w:color w:val="auto"/>
          <w:sz w:val="24"/>
          <w:highlight w:val="none"/>
        </w:rPr>
      </w:pPr>
      <w:r>
        <w:rPr>
          <w:rFonts w:hint="eastAsia" w:ascii="仿宋" w:hAnsi="仿宋" w:eastAsia="仿宋" w:cs="Arial"/>
          <w:color w:val="auto"/>
          <w:sz w:val="24"/>
          <w:highlight w:val="none"/>
        </w:rPr>
        <w:t>三、</w:t>
      </w:r>
      <w:r>
        <w:rPr>
          <w:rFonts w:hint="eastAsia" w:ascii="仿宋" w:hAnsi="仿宋" w:eastAsia="仿宋" w:cs="Arial"/>
          <w:b/>
          <w:bCs/>
          <w:color w:val="auto"/>
          <w:sz w:val="24"/>
          <w:highlight w:val="none"/>
        </w:rPr>
        <w:t>谈判项目名称及数量（</w:t>
      </w:r>
      <w:r>
        <w:rPr>
          <w:rFonts w:hint="eastAsia" w:ascii="仿宋" w:hAnsi="仿宋" w:eastAsia="仿宋"/>
          <w:b/>
          <w:bCs/>
          <w:color w:val="auto"/>
          <w:sz w:val="24"/>
          <w:highlight w:val="none"/>
        </w:rPr>
        <w:t>详见谈判文件</w:t>
      </w:r>
      <w:r>
        <w:rPr>
          <w:rFonts w:hint="eastAsia" w:ascii="仿宋" w:hAnsi="仿宋" w:eastAsia="仿宋" w:cs="Arial"/>
          <w:b/>
          <w:bCs/>
          <w:color w:val="auto"/>
          <w:sz w:val="24"/>
          <w:highlight w:val="none"/>
        </w:rPr>
        <w:t>）</w:t>
      </w:r>
    </w:p>
    <w:tbl>
      <w:tblPr>
        <w:tblStyle w:val="5"/>
        <w:tblW w:w="933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852"/>
        <w:gridCol w:w="203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135" w:type="dxa"/>
            <w:vAlign w:val="center"/>
          </w:tcPr>
          <w:p>
            <w:pPr>
              <w:jc w:val="center"/>
              <w:rPr>
                <w:rFonts w:hint="eastAsia" w:ascii="仿宋" w:hAnsi="仿宋" w:eastAsia="仿宋" w:cs="宋体"/>
                <w:b/>
                <w:color w:val="auto"/>
                <w:kern w:val="0"/>
                <w:sz w:val="18"/>
                <w:szCs w:val="18"/>
                <w:highlight w:val="none"/>
              </w:rPr>
            </w:pPr>
            <w:r>
              <w:rPr>
                <w:rFonts w:hint="eastAsia" w:ascii="仿宋" w:hAnsi="仿宋" w:eastAsia="仿宋" w:cs="宋体"/>
                <w:b/>
                <w:color w:val="auto"/>
                <w:kern w:val="0"/>
                <w:sz w:val="21"/>
                <w:szCs w:val="21"/>
                <w:highlight w:val="none"/>
              </w:rPr>
              <w:t>标段序号</w:t>
            </w:r>
          </w:p>
        </w:tc>
        <w:tc>
          <w:tcPr>
            <w:tcW w:w="4852" w:type="dxa"/>
            <w:vAlign w:val="center"/>
          </w:tcPr>
          <w:p>
            <w:pPr>
              <w:jc w:val="center"/>
              <w:rPr>
                <w:rFonts w:hint="eastAsia" w:ascii="仿宋" w:hAnsi="仿宋" w:eastAsia="仿宋" w:cs="宋体"/>
                <w:b/>
                <w:color w:val="auto"/>
                <w:kern w:val="0"/>
                <w:szCs w:val="21"/>
                <w:highlight w:val="none"/>
              </w:rPr>
            </w:pPr>
            <w:r>
              <w:rPr>
                <w:rFonts w:hint="eastAsia" w:ascii="仿宋" w:hAnsi="仿宋" w:eastAsia="仿宋" w:cs="宋体"/>
                <w:b/>
                <w:color w:val="auto"/>
                <w:kern w:val="0"/>
                <w:szCs w:val="21"/>
                <w:highlight w:val="none"/>
              </w:rPr>
              <w:t>招标项目名称</w:t>
            </w:r>
          </w:p>
          <w:p>
            <w:pPr>
              <w:jc w:val="center"/>
              <w:rPr>
                <w:rFonts w:hint="eastAsia" w:ascii="仿宋" w:hAnsi="仿宋" w:eastAsia="仿宋" w:cs="宋体"/>
                <w:b/>
                <w:color w:val="auto"/>
                <w:kern w:val="0"/>
                <w:szCs w:val="21"/>
                <w:highlight w:val="none"/>
              </w:rPr>
            </w:pPr>
            <w:r>
              <w:rPr>
                <w:rFonts w:hint="eastAsia" w:ascii="仿宋" w:hAnsi="仿宋" w:eastAsia="仿宋" w:cs="宋体"/>
                <w:b/>
                <w:bCs/>
                <w:color w:val="auto"/>
                <w:kern w:val="0"/>
                <w:szCs w:val="21"/>
                <w:highlight w:val="none"/>
              </w:rPr>
              <w:t>（详见竞争性谈判文件）</w:t>
            </w:r>
          </w:p>
        </w:tc>
        <w:tc>
          <w:tcPr>
            <w:tcW w:w="2033" w:type="dxa"/>
            <w:vAlign w:val="center"/>
          </w:tcPr>
          <w:p>
            <w:pPr>
              <w:jc w:val="center"/>
              <w:rPr>
                <w:rFonts w:hint="eastAsia" w:ascii="仿宋" w:hAnsi="仿宋" w:eastAsia="仿宋" w:cs="宋体"/>
                <w:b/>
                <w:color w:val="auto"/>
                <w:kern w:val="0"/>
                <w:szCs w:val="21"/>
                <w:highlight w:val="none"/>
              </w:rPr>
            </w:pPr>
            <w:r>
              <w:rPr>
                <w:rFonts w:hint="eastAsia" w:ascii="仿宋" w:hAnsi="仿宋" w:eastAsia="仿宋" w:cs="宋体"/>
                <w:b/>
                <w:color w:val="auto"/>
                <w:kern w:val="0"/>
                <w:szCs w:val="21"/>
                <w:highlight w:val="none"/>
              </w:rPr>
              <w:t>预算金额或上限价</w:t>
            </w:r>
          </w:p>
          <w:p>
            <w:pPr>
              <w:jc w:val="center"/>
              <w:rPr>
                <w:rFonts w:hint="eastAsia" w:ascii="仿宋" w:hAnsi="仿宋" w:eastAsia="仿宋" w:cs="宋体"/>
                <w:b/>
                <w:color w:val="auto"/>
                <w:kern w:val="0"/>
                <w:szCs w:val="21"/>
                <w:highlight w:val="none"/>
              </w:rPr>
            </w:pPr>
            <w:r>
              <w:rPr>
                <w:rFonts w:hint="eastAsia" w:ascii="仿宋" w:hAnsi="仿宋" w:eastAsia="仿宋" w:cs="宋体"/>
                <w:b/>
                <w:color w:val="auto"/>
                <w:kern w:val="0"/>
                <w:szCs w:val="21"/>
                <w:highlight w:val="none"/>
              </w:rPr>
              <w:t>（单位：人民币元）</w:t>
            </w:r>
          </w:p>
        </w:tc>
        <w:tc>
          <w:tcPr>
            <w:tcW w:w="1317" w:type="dxa"/>
            <w:vAlign w:val="center"/>
          </w:tcPr>
          <w:p>
            <w:pPr>
              <w:jc w:val="center"/>
              <w:rPr>
                <w:rFonts w:hint="eastAsia" w:ascii="仿宋" w:hAnsi="仿宋" w:eastAsia="仿宋" w:cs="宋体"/>
                <w:b/>
                <w:color w:val="auto"/>
                <w:kern w:val="0"/>
                <w:szCs w:val="21"/>
                <w:highlight w:val="none"/>
                <w:lang w:val="en-US" w:eastAsia="zh-CN"/>
              </w:rPr>
            </w:pPr>
            <w:r>
              <w:rPr>
                <w:rFonts w:hint="eastAsia" w:ascii="仿宋" w:hAnsi="仿宋" w:eastAsia="仿宋" w:cs="宋体"/>
                <w:b/>
                <w:color w:val="auto"/>
                <w:kern w:val="0"/>
                <w:szCs w:val="21"/>
                <w:highlight w:val="none"/>
                <w:lang w:val="en-US" w:eastAsia="zh-CN"/>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35" w:type="dxa"/>
            <w:vMerge w:val="restart"/>
            <w:vAlign w:val="center"/>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01标</w:t>
            </w:r>
          </w:p>
        </w:tc>
        <w:tc>
          <w:tcPr>
            <w:tcW w:w="4852" w:type="dxa"/>
            <w:vMerge w:val="restart"/>
            <w:vAlign w:val="center"/>
          </w:tcPr>
          <w:p>
            <w:pPr>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绍兴市财政局21.4竣工财务决算审核委托中介机构项目（重招）</w:t>
            </w:r>
          </w:p>
          <w:p>
            <w:pPr>
              <w:jc w:val="center"/>
              <w:rPr>
                <w:rFonts w:hint="eastAsia" w:ascii="仿宋" w:hAnsi="仿宋" w:eastAsia="仿宋" w:cs="仿宋"/>
                <w:color w:val="auto"/>
                <w:kern w:val="0"/>
                <w:sz w:val="24"/>
                <w:highlight w:val="none"/>
                <w:lang w:eastAsia="zh-CN"/>
              </w:rPr>
            </w:pPr>
          </w:p>
        </w:tc>
        <w:tc>
          <w:tcPr>
            <w:tcW w:w="2033" w:type="dxa"/>
            <w:vMerge w:val="restart"/>
            <w:vAlign w:val="center"/>
          </w:tcPr>
          <w:p>
            <w:pPr>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120000</w:t>
            </w:r>
          </w:p>
        </w:tc>
        <w:tc>
          <w:tcPr>
            <w:tcW w:w="1317" w:type="dxa"/>
            <w:vMerge w:val="restar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35" w:type="dxa"/>
            <w:vMerge w:val="continue"/>
            <w:vAlign w:val="center"/>
          </w:tcPr>
          <w:p>
            <w:pPr>
              <w:jc w:val="center"/>
              <w:rPr>
                <w:color w:val="auto"/>
                <w:highlight w:val="none"/>
              </w:rPr>
            </w:pPr>
          </w:p>
        </w:tc>
        <w:tc>
          <w:tcPr>
            <w:tcW w:w="4852" w:type="dxa"/>
            <w:vMerge w:val="continue"/>
            <w:vAlign w:val="center"/>
          </w:tcPr>
          <w:p>
            <w:pPr>
              <w:jc w:val="center"/>
              <w:rPr>
                <w:color w:val="auto"/>
                <w:highlight w:val="none"/>
              </w:rPr>
            </w:pPr>
          </w:p>
        </w:tc>
        <w:tc>
          <w:tcPr>
            <w:tcW w:w="2033" w:type="dxa"/>
            <w:vMerge w:val="continue"/>
            <w:vAlign w:val="center"/>
          </w:tcPr>
          <w:p>
            <w:pPr>
              <w:jc w:val="center"/>
              <w:rPr>
                <w:rFonts w:hint="eastAsia" w:ascii="仿宋" w:hAnsi="仿宋" w:eastAsia="仿宋" w:cs="仿宋"/>
                <w:color w:val="auto"/>
                <w:kern w:val="0"/>
                <w:sz w:val="24"/>
                <w:highlight w:val="none"/>
                <w:lang w:eastAsia="zh-CN"/>
              </w:rPr>
            </w:pPr>
          </w:p>
        </w:tc>
        <w:tc>
          <w:tcPr>
            <w:tcW w:w="1317" w:type="dxa"/>
            <w:vMerge w:val="continue"/>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35" w:type="dxa"/>
            <w:vMerge w:val="continue"/>
            <w:vAlign w:val="center"/>
          </w:tcPr>
          <w:p>
            <w:pPr>
              <w:jc w:val="center"/>
              <w:rPr>
                <w:rFonts w:hint="eastAsia" w:ascii="仿宋" w:hAnsi="仿宋" w:eastAsia="仿宋" w:cs="仿宋"/>
                <w:color w:val="auto"/>
                <w:sz w:val="24"/>
                <w:highlight w:val="none"/>
              </w:rPr>
            </w:pPr>
          </w:p>
        </w:tc>
        <w:tc>
          <w:tcPr>
            <w:tcW w:w="4852" w:type="dxa"/>
            <w:vMerge w:val="continue"/>
            <w:vAlign w:val="center"/>
          </w:tcPr>
          <w:p>
            <w:pPr>
              <w:jc w:val="center"/>
              <w:rPr>
                <w:rFonts w:hint="eastAsia" w:ascii="仿宋" w:hAnsi="仿宋" w:eastAsia="仿宋" w:cs="仿宋"/>
                <w:color w:val="auto"/>
                <w:sz w:val="24"/>
                <w:highlight w:val="none"/>
              </w:rPr>
            </w:pPr>
          </w:p>
        </w:tc>
        <w:tc>
          <w:tcPr>
            <w:tcW w:w="2033" w:type="dxa"/>
            <w:vMerge w:val="continue"/>
            <w:vAlign w:val="center"/>
          </w:tcPr>
          <w:p>
            <w:pPr>
              <w:jc w:val="center"/>
              <w:rPr>
                <w:rFonts w:hint="eastAsia" w:ascii="仿宋" w:hAnsi="仿宋" w:eastAsia="仿宋" w:cs="仿宋"/>
                <w:color w:val="auto"/>
                <w:kern w:val="0"/>
                <w:sz w:val="24"/>
                <w:highlight w:val="none"/>
                <w:lang w:eastAsia="zh-CN"/>
              </w:rPr>
            </w:pPr>
          </w:p>
        </w:tc>
        <w:tc>
          <w:tcPr>
            <w:tcW w:w="1317" w:type="dxa"/>
            <w:vMerge w:val="continue"/>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35" w:type="dxa"/>
            <w:vMerge w:val="continue"/>
            <w:vAlign w:val="center"/>
          </w:tcPr>
          <w:p>
            <w:pPr>
              <w:jc w:val="center"/>
              <w:rPr>
                <w:rFonts w:hint="eastAsia" w:ascii="仿宋" w:hAnsi="仿宋" w:eastAsia="仿宋" w:cs="仿宋"/>
                <w:color w:val="auto"/>
                <w:sz w:val="24"/>
                <w:highlight w:val="none"/>
              </w:rPr>
            </w:pPr>
          </w:p>
        </w:tc>
        <w:tc>
          <w:tcPr>
            <w:tcW w:w="4852" w:type="dxa"/>
            <w:vMerge w:val="continue"/>
            <w:vAlign w:val="center"/>
          </w:tcPr>
          <w:p>
            <w:pPr>
              <w:jc w:val="center"/>
              <w:rPr>
                <w:rFonts w:hint="eastAsia" w:ascii="仿宋" w:hAnsi="仿宋" w:eastAsia="仿宋" w:cs="仿宋"/>
                <w:color w:val="auto"/>
                <w:sz w:val="24"/>
                <w:highlight w:val="none"/>
              </w:rPr>
            </w:pPr>
          </w:p>
        </w:tc>
        <w:tc>
          <w:tcPr>
            <w:tcW w:w="2033" w:type="dxa"/>
            <w:vMerge w:val="continue"/>
            <w:vAlign w:val="center"/>
          </w:tcPr>
          <w:p>
            <w:pPr>
              <w:jc w:val="center"/>
              <w:rPr>
                <w:rFonts w:hint="eastAsia" w:ascii="仿宋" w:hAnsi="仿宋" w:eastAsia="仿宋" w:cs="仿宋"/>
                <w:color w:val="auto"/>
                <w:kern w:val="0"/>
                <w:sz w:val="24"/>
                <w:highlight w:val="none"/>
                <w:lang w:eastAsia="zh-CN"/>
              </w:rPr>
            </w:pPr>
          </w:p>
        </w:tc>
        <w:tc>
          <w:tcPr>
            <w:tcW w:w="1317" w:type="dxa"/>
            <w:vMerge w:val="continue"/>
            <w:vAlign w:val="center"/>
          </w:tcPr>
          <w:p>
            <w:pPr>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35" w:type="dxa"/>
            <w:vMerge w:val="continue"/>
            <w:vAlign w:val="center"/>
          </w:tcPr>
          <w:p>
            <w:pPr>
              <w:jc w:val="center"/>
              <w:rPr>
                <w:color w:val="auto"/>
                <w:highlight w:val="none"/>
              </w:rPr>
            </w:pPr>
          </w:p>
        </w:tc>
        <w:tc>
          <w:tcPr>
            <w:tcW w:w="4852" w:type="dxa"/>
            <w:vMerge w:val="continue"/>
            <w:vAlign w:val="center"/>
          </w:tcPr>
          <w:p>
            <w:pPr>
              <w:jc w:val="center"/>
              <w:rPr>
                <w:color w:val="auto"/>
                <w:highlight w:val="none"/>
              </w:rPr>
            </w:pPr>
          </w:p>
        </w:tc>
        <w:tc>
          <w:tcPr>
            <w:tcW w:w="2033"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1317"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35"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4852"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2033"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1317"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35"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4852"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2033"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c>
          <w:tcPr>
            <w:tcW w:w="1317" w:type="dxa"/>
            <w:vMerge w:val="continue"/>
            <w:vAlign w:val="center"/>
          </w:tcPr>
          <w:p>
            <w:pPr>
              <w:jc w:val="center"/>
              <w:rPr>
                <w:rFonts w:hint="eastAsia" w:ascii="宋体" w:hAnsi="宋体" w:eastAsia="宋体" w:cs="宋体"/>
                <w:i w:val="0"/>
                <w:color w:val="auto"/>
                <w:kern w:val="0"/>
                <w:sz w:val="22"/>
                <w:szCs w:val="22"/>
                <w:highlight w:val="none"/>
                <w:u w:val="none"/>
                <w:lang w:val="en-US" w:eastAsia="zh-CN" w:bidi="ar"/>
              </w:rPr>
            </w:pPr>
          </w:p>
        </w:tc>
      </w:tr>
    </w:tbl>
    <w:p>
      <w:pPr>
        <w:numPr>
          <w:ilvl w:val="0"/>
          <w:numId w:val="0"/>
        </w:numPr>
        <w:spacing w:line="440" w:lineRule="exact"/>
        <w:rPr>
          <w:rFonts w:hint="default" w:ascii="仿宋" w:hAnsi="仿宋" w:eastAsia="仿宋" w:cs="Arial"/>
          <w:bCs/>
          <w:color w:val="auto"/>
          <w:sz w:val="24"/>
          <w:highlight w:val="none"/>
          <w:lang w:val="en-US" w:eastAsia="zh-CN"/>
        </w:rPr>
      </w:pPr>
      <w:r>
        <w:rPr>
          <w:rFonts w:hint="eastAsia" w:ascii="仿宋" w:hAnsi="仿宋" w:eastAsia="仿宋" w:cs="宋体"/>
          <w:color w:val="auto"/>
          <w:kern w:val="0"/>
          <w:sz w:val="24"/>
          <w:highlight w:val="none"/>
          <w:lang w:eastAsia="zh-CN"/>
        </w:rPr>
        <w:t>注：</w:t>
      </w:r>
      <w:r>
        <w:rPr>
          <w:rFonts w:hint="eastAsia" w:ascii="宋体" w:hAnsi="宋体" w:eastAsia="仿宋" w:cs="宋体"/>
          <w:color w:val="auto"/>
          <w:kern w:val="0"/>
          <w:sz w:val="24"/>
          <w:highlight w:val="none"/>
          <w:lang w:val="en-US" w:eastAsia="zh-CN"/>
        </w:rPr>
        <w:t>供应商不得参与同一项目其他单位（业主单位、建设单位等相关单位）委托从事本项目竣工财务决算编制等咨询服务，如已受委托从事某项目有关竣工财务决算编制等咨询服务，不得参与该项目所在标段的投标。</w:t>
      </w:r>
    </w:p>
    <w:p>
      <w:pPr>
        <w:numPr>
          <w:ilvl w:val="0"/>
          <w:numId w:val="1"/>
        </w:numPr>
        <w:spacing w:line="440" w:lineRule="exact"/>
        <w:ind w:firstLine="482" w:firstLineChars="200"/>
        <w:rPr>
          <w:rFonts w:hint="eastAsia" w:ascii="仿宋" w:hAnsi="仿宋" w:eastAsia="仿宋" w:cs="Arial"/>
          <w:bCs/>
          <w:color w:val="auto"/>
          <w:sz w:val="24"/>
          <w:highlight w:val="none"/>
        </w:rPr>
      </w:pPr>
      <w:r>
        <w:rPr>
          <w:rFonts w:hint="eastAsia" w:ascii="仿宋" w:hAnsi="仿宋" w:eastAsia="仿宋" w:cs="Arial"/>
          <w:b/>
          <w:bCs/>
          <w:color w:val="auto"/>
          <w:sz w:val="24"/>
          <w:highlight w:val="none"/>
        </w:rPr>
        <w:t>采购人的采购需求：</w:t>
      </w:r>
      <w:r>
        <w:rPr>
          <w:rFonts w:hint="eastAsia" w:ascii="仿宋" w:hAnsi="仿宋" w:eastAsia="仿宋" w:cs="Arial"/>
          <w:bCs/>
          <w:color w:val="auto"/>
          <w:sz w:val="24"/>
          <w:highlight w:val="none"/>
        </w:rPr>
        <w:t>详见</w:t>
      </w:r>
      <w:r>
        <w:rPr>
          <w:rFonts w:hint="eastAsia" w:ascii="仿宋" w:hAnsi="仿宋" w:eastAsia="仿宋" w:cs="宋体"/>
          <w:bCs/>
          <w:color w:val="auto"/>
          <w:sz w:val="24"/>
          <w:highlight w:val="none"/>
        </w:rPr>
        <w:t>谈判</w:t>
      </w:r>
      <w:r>
        <w:rPr>
          <w:rFonts w:hint="eastAsia" w:ascii="仿宋" w:hAnsi="仿宋" w:eastAsia="仿宋" w:cs="Arial"/>
          <w:bCs/>
          <w:color w:val="auto"/>
          <w:sz w:val="24"/>
          <w:highlight w:val="none"/>
        </w:rPr>
        <w:t>文件</w:t>
      </w:r>
    </w:p>
    <w:p>
      <w:pPr>
        <w:spacing w:line="440" w:lineRule="exact"/>
        <w:ind w:firstLine="369" w:firstLineChars="176"/>
        <w:rPr>
          <w:rFonts w:hint="eastAsia" w:ascii="仿宋" w:hAnsi="仿宋" w:eastAsia="仿宋" w:cs="Arial"/>
          <w:color w:val="auto"/>
          <w:sz w:val="24"/>
          <w:highlight w:val="none"/>
        </w:rPr>
      </w:pPr>
      <w:r>
        <w:rPr>
          <w:rFonts w:hint="eastAsia" w:ascii="仿宋" w:hAnsi="仿宋" w:eastAsia="仿宋" w:cs="仿宋"/>
          <w:color w:val="auto"/>
          <w:highlight w:val="none"/>
        </w:rPr>
        <w:t xml:space="preserve"> </w:t>
      </w:r>
      <w:r>
        <w:rPr>
          <w:rFonts w:hint="eastAsia" w:ascii="仿宋" w:hAnsi="仿宋" w:eastAsia="仿宋" w:cs="仿宋"/>
          <w:b/>
          <w:bCs/>
          <w:color w:val="auto"/>
          <w:sz w:val="24"/>
          <w:highlight w:val="none"/>
        </w:rPr>
        <w:t>五、需要落实的政府采购政策：</w:t>
      </w:r>
      <w:r>
        <w:rPr>
          <w:rFonts w:hint="eastAsia" w:ascii="仿宋" w:hAnsi="仿宋" w:eastAsia="仿宋" w:cs="仿宋"/>
          <w:bCs/>
          <w:color w:val="auto"/>
          <w:sz w:val="24"/>
          <w:highlight w:val="none"/>
        </w:rPr>
        <w:t>包括保护环境、节约能源、促进中小企业发展等。详见谈判文件第二部分-总则。</w:t>
      </w:r>
    </w:p>
    <w:p>
      <w:pPr>
        <w:spacing w:line="440" w:lineRule="exact"/>
        <w:ind w:firstLine="424" w:firstLineChars="176"/>
        <w:rPr>
          <w:rFonts w:ascii="仿宋" w:hAnsi="仿宋" w:eastAsia="仿宋" w:cs="Arial"/>
          <w:color w:val="auto"/>
          <w:sz w:val="24"/>
          <w:highlight w:val="none"/>
        </w:rPr>
      </w:pPr>
      <w:r>
        <w:rPr>
          <w:rFonts w:hint="eastAsia" w:ascii="仿宋" w:hAnsi="仿宋" w:eastAsia="仿宋" w:cs="Arial"/>
          <w:b/>
          <w:color w:val="auto"/>
          <w:sz w:val="24"/>
          <w:highlight w:val="none"/>
        </w:rPr>
        <w:t>六、</w:t>
      </w:r>
      <w:r>
        <w:rPr>
          <w:rFonts w:hint="eastAsia" w:ascii="仿宋" w:hAnsi="仿宋" w:eastAsia="仿宋" w:cs="Arial"/>
          <w:b/>
          <w:bCs/>
          <w:color w:val="auto"/>
          <w:sz w:val="24"/>
          <w:highlight w:val="none"/>
        </w:rPr>
        <w:t>供应商的资格要求</w:t>
      </w:r>
    </w:p>
    <w:p>
      <w:pPr>
        <w:spacing w:line="400" w:lineRule="exact"/>
        <w:ind w:firstLine="480"/>
        <w:rPr>
          <w:rFonts w:ascii="仿宋" w:hAnsi="仿宋" w:eastAsia="仿宋" w:cs="宋体"/>
          <w:color w:val="auto"/>
          <w:kern w:val="0"/>
          <w:sz w:val="24"/>
          <w:highlight w:val="none"/>
        </w:rPr>
      </w:pPr>
      <w:bookmarkStart w:id="0" w:name="_Hlk1378051"/>
      <w:r>
        <w:rPr>
          <w:rFonts w:hint="eastAsia" w:ascii="仿宋" w:hAnsi="仿宋" w:eastAsia="仿宋" w:cs="宋体"/>
          <w:color w:val="auto"/>
          <w:kern w:val="0"/>
          <w:sz w:val="24"/>
          <w:highlight w:val="none"/>
        </w:rPr>
        <w:t>1.符合政府采购法第二十二条之供应商资格规定。</w:t>
      </w:r>
    </w:p>
    <w:p>
      <w:pPr>
        <w:autoSpaceDE w:val="0"/>
        <w:autoSpaceDN w:val="0"/>
        <w:adjustRightInd w:val="0"/>
        <w:spacing w:line="440" w:lineRule="exact"/>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2.未被“信用中国”（www.creditchina.gov.cn)、中国政府采购网（www.ccgp.gov.cn）列入失信被执行人、重大税收违法案件当事人名单、政府采购严重违法失信行为记录名单。</w:t>
      </w:r>
    </w:p>
    <w:p>
      <w:pPr>
        <w:autoSpaceDE w:val="0"/>
        <w:autoSpaceDN w:val="0"/>
        <w:adjustRightInd w:val="0"/>
        <w:spacing w:line="440" w:lineRule="exact"/>
        <w:ind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w:t>
      </w:r>
      <w:bookmarkEnd w:id="0"/>
      <w:r>
        <w:rPr>
          <w:rFonts w:hint="eastAsia" w:ascii="仿宋" w:hAnsi="仿宋" w:eastAsia="仿宋" w:cs="宋体"/>
          <w:color w:val="auto"/>
          <w:kern w:val="0"/>
          <w:sz w:val="24"/>
          <w:highlight w:val="none"/>
        </w:rPr>
        <w:t>不允许联合体投标。</w:t>
      </w:r>
    </w:p>
    <w:p>
      <w:pPr>
        <w:autoSpaceDE w:val="0"/>
        <w:autoSpaceDN w:val="0"/>
        <w:adjustRightInd w:val="0"/>
        <w:spacing w:line="440" w:lineRule="exact"/>
        <w:ind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4</w:t>
      </w:r>
      <w:r>
        <w:rPr>
          <w:rFonts w:hint="eastAsia" w:ascii="仿宋" w:hAnsi="仿宋" w:eastAsia="仿宋" w:cs="宋体"/>
          <w:color w:val="auto"/>
          <w:kern w:val="0"/>
          <w:sz w:val="24"/>
          <w:highlight w:val="none"/>
        </w:rPr>
        <w:t>.投标人需具有会计师事务所执业资格。</w:t>
      </w:r>
    </w:p>
    <w:p>
      <w:pPr>
        <w:spacing w:line="440" w:lineRule="exact"/>
        <w:ind w:firstLine="424" w:firstLineChars="176"/>
        <w:rPr>
          <w:rFonts w:ascii="仿宋" w:hAnsi="仿宋" w:eastAsia="仿宋" w:cs="Arial"/>
          <w:b/>
          <w:bCs/>
          <w:color w:val="auto"/>
          <w:sz w:val="24"/>
          <w:highlight w:val="none"/>
        </w:rPr>
      </w:pPr>
      <w:r>
        <w:rPr>
          <w:rFonts w:hint="eastAsia" w:ascii="仿宋" w:hAnsi="仿宋" w:eastAsia="仿宋" w:cs="Arial"/>
          <w:b/>
          <w:bCs/>
          <w:color w:val="auto"/>
          <w:sz w:val="24"/>
          <w:highlight w:val="none"/>
        </w:rPr>
        <w:t>七、资格审查方式：</w:t>
      </w:r>
    </w:p>
    <w:p>
      <w:pPr>
        <w:spacing w:line="440" w:lineRule="exact"/>
        <w:ind w:firstLine="422" w:firstLineChars="176"/>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1、资格后审。</w:t>
      </w:r>
    </w:p>
    <w:p>
      <w:pPr>
        <w:spacing w:line="440" w:lineRule="exact"/>
        <w:ind w:firstLine="422" w:firstLineChars="176"/>
        <w:rPr>
          <w:rFonts w:ascii="仿宋" w:hAnsi="仿宋" w:eastAsia="仿宋" w:cs="Arial"/>
          <w:bCs/>
          <w:color w:val="auto"/>
          <w:sz w:val="24"/>
          <w:highlight w:val="none"/>
        </w:rPr>
      </w:pPr>
      <w:r>
        <w:rPr>
          <w:rFonts w:ascii="仿宋" w:hAnsi="仿宋" w:eastAsia="仿宋" w:cs="仿宋"/>
          <w:color w:val="auto"/>
          <w:sz w:val="24"/>
          <w:highlight w:val="none"/>
        </w:rPr>
        <w:t>2.</w:t>
      </w:r>
      <w:r>
        <w:rPr>
          <w:rFonts w:ascii="仿宋" w:hAnsi="仿宋" w:eastAsia="仿宋" w:cs="Arial"/>
          <w:bCs/>
          <w:color w:val="auto"/>
          <w:sz w:val="24"/>
          <w:highlight w:val="none"/>
        </w:rPr>
        <w:t xml:space="preserve"> 法定代表人</w:t>
      </w:r>
      <w:r>
        <w:rPr>
          <w:rFonts w:hint="eastAsia" w:ascii="仿宋" w:hAnsi="仿宋" w:eastAsia="仿宋" w:cs="Arial"/>
          <w:bCs/>
          <w:color w:val="auto"/>
          <w:sz w:val="24"/>
          <w:highlight w:val="none"/>
        </w:rPr>
        <w:t>的被</w:t>
      </w:r>
      <w:r>
        <w:rPr>
          <w:rFonts w:ascii="仿宋" w:hAnsi="仿宋" w:eastAsia="仿宋" w:cs="Arial"/>
          <w:bCs/>
          <w:color w:val="auto"/>
          <w:sz w:val="24"/>
          <w:highlight w:val="none"/>
        </w:rPr>
        <w:t>授权委托人必须是</w:t>
      </w:r>
      <w:r>
        <w:rPr>
          <w:rFonts w:hint="eastAsia" w:ascii="仿宋" w:hAnsi="仿宋" w:eastAsia="仿宋" w:cs="Arial"/>
          <w:bCs/>
          <w:color w:val="auto"/>
          <w:sz w:val="24"/>
          <w:highlight w:val="none"/>
        </w:rPr>
        <w:t>投标</w:t>
      </w:r>
      <w:r>
        <w:rPr>
          <w:rFonts w:ascii="仿宋" w:hAnsi="仿宋" w:eastAsia="仿宋" w:cs="Arial"/>
          <w:bCs/>
          <w:color w:val="auto"/>
          <w:sz w:val="24"/>
          <w:highlight w:val="none"/>
        </w:rPr>
        <w:t>单位职工</w:t>
      </w:r>
      <w:r>
        <w:rPr>
          <w:rFonts w:hint="eastAsia" w:ascii="仿宋" w:hAnsi="仿宋" w:eastAsia="仿宋" w:cs="Arial"/>
          <w:bCs/>
          <w:color w:val="auto"/>
          <w:sz w:val="24"/>
          <w:highlight w:val="none"/>
        </w:rPr>
        <w:t>。需</w:t>
      </w:r>
      <w:r>
        <w:rPr>
          <w:rFonts w:ascii="仿宋" w:hAnsi="仿宋" w:eastAsia="仿宋" w:cs="Arial"/>
          <w:bCs/>
          <w:color w:val="auto"/>
          <w:sz w:val="24"/>
          <w:highlight w:val="none"/>
        </w:rPr>
        <w:t>在投标响应文件技术部分内</w:t>
      </w:r>
      <w:r>
        <w:rPr>
          <w:rFonts w:hint="eastAsia" w:ascii="仿宋" w:hAnsi="仿宋" w:eastAsia="仿宋" w:cs="Arial"/>
          <w:bCs/>
          <w:color w:val="auto"/>
          <w:sz w:val="24"/>
          <w:highlight w:val="none"/>
        </w:rPr>
        <w:t>提</w:t>
      </w:r>
      <w:r>
        <w:rPr>
          <w:rFonts w:ascii="仿宋" w:hAnsi="仿宋" w:eastAsia="仿宋" w:cs="Arial"/>
          <w:bCs/>
          <w:color w:val="auto"/>
          <w:sz w:val="24"/>
          <w:highlight w:val="none"/>
        </w:rPr>
        <w:t>供</w:t>
      </w:r>
      <w:r>
        <w:rPr>
          <w:rFonts w:hint="eastAsia" w:ascii="仿宋" w:hAnsi="仿宋" w:eastAsia="仿宋" w:cs="Arial"/>
          <w:bCs/>
          <w:color w:val="auto"/>
          <w:sz w:val="24"/>
          <w:highlight w:val="none"/>
        </w:rPr>
        <w:t>由社保机构出具的</w:t>
      </w:r>
      <w:r>
        <w:rPr>
          <w:rFonts w:ascii="仿宋" w:hAnsi="仿宋" w:eastAsia="仿宋" w:cs="Arial"/>
          <w:bCs/>
          <w:color w:val="auto"/>
          <w:sz w:val="24"/>
          <w:highlight w:val="none"/>
        </w:rPr>
        <w:t>该</w:t>
      </w:r>
      <w:r>
        <w:rPr>
          <w:rFonts w:hint="eastAsia" w:ascii="仿宋" w:hAnsi="仿宋" w:eastAsia="仿宋" w:cs="Arial"/>
          <w:bCs/>
          <w:color w:val="auto"/>
          <w:sz w:val="24"/>
          <w:highlight w:val="none"/>
        </w:rPr>
        <w:t>授权代表</w:t>
      </w:r>
      <w:r>
        <w:rPr>
          <w:rFonts w:ascii="仿宋" w:hAnsi="仿宋" w:eastAsia="仿宋" w:cs="Arial"/>
          <w:bCs/>
          <w:color w:val="auto"/>
          <w:sz w:val="24"/>
          <w:highlight w:val="none"/>
        </w:rPr>
        <w:t>的</w:t>
      </w:r>
      <w:r>
        <w:rPr>
          <w:rFonts w:hint="eastAsia" w:ascii="仿宋" w:hAnsi="仿宋" w:eastAsia="仿宋" w:cs="Arial"/>
          <w:bCs/>
          <w:color w:val="auto"/>
          <w:sz w:val="24"/>
          <w:highlight w:val="none"/>
        </w:rPr>
        <w:t>社保证明（1.如该授权代表为</w:t>
      </w:r>
      <w:r>
        <w:rPr>
          <w:rFonts w:ascii="仿宋" w:hAnsi="仿宋" w:eastAsia="仿宋" w:cs="Arial"/>
          <w:bCs/>
          <w:color w:val="auto"/>
          <w:sz w:val="24"/>
          <w:highlight w:val="none"/>
        </w:rPr>
        <w:t>离退休返聘人员的，投标响应文件技术部分内</w:t>
      </w:r>
      <w:r>
        <w:rPr>
          <w:rFonts w:hint="eastAsia" w:ascii="仿宋" w:hAnsi="仿宋" w:eastAsia="仿宋" w:cs="Arial"/>
          <w:bCs/>
          <w:color w:val="auto"/>
          <w:sz w:val="24"/>
          <w:highlight w:val="none"/>
        </w:rPr>
        <w:t>需提供</w:t>
      </w:r>
      <w:r>
        <w:rPr>
          <w:rFonts w:ascii="仿宋" w:hAnsi="仿宋" w:eastAsia="仿宋" w:cs="Arial"/>
          <w:bCs/>
          <w:color w:val="auto"/>
          <w:sz w:val="24"/>
          <w:highlight w:val="none"/>
        </w:rPr>
        <w:t>退休证明及单位聘用证明</w:t>
      </w:r>
      <w:r>
        <w:rPr>
          <w:rFonts w:hint="eastAsia" w:ascii="仿宋" w:hAnsi="仿宋" w:eastAsia="仿宋" w:cs="Arial"/>
          <w:bCs/>
          <w:color w:val="auto"/>
          <w:sz w:val="24"/>
          <w:highlight w:val="none"/>
        </w:rPr>
        <w:t>;2.如由第三方代理社保事项的，则需提供加盖投标人公章的委托代理协议复印件）</w:t>
      </w:r>
      <w:r>
        <w:rPr>
          <w:rFonts w:hint="eastAsia" w:ascii="仿宋" w:hAnsi="仿宋" w:eastAsia="仿宋" w:cs="仿宋"/>
          <w:color w:val="auto"/>
          <w:sz w:val="24"/>
          <w:highlight w:val="none"/>
        </w:rPr>
        <w:t>。</w:t>
      </w:r>
    </w:p>
    <w:p>
      <w:pPr>
        <w:spacing w:line="440" w:lineRule="exact"/>
        <w:ind w:firstLine="542" w:firstLineChars="225"/>
        <w:rPr>
          <w:rFonts w:hint="eastAsia" w:ascii="仿宋" w:hAnsi="仿宋" w:eastAsia="仿宋" w:cs="Arial"/>
          <w:bCs/>
          <w:color w:val="auto"/>
          <w:sz w:val="24"/>
          <w:highlight w:val="none"/>
        </w:rPr>
      </w:pPr>
      <w:r>
        <w:rPr>
          <w:rFonts w:hint="eastAsia" w:ascii="仿宋" w:hAnsi="仿宋" w:eastAsia="仿宋" w:cs="Arial"/>
          <w:b/>
          <w:bCs/>
          <w:color w:val="auto"/>
          <w:sz w:val="24"/>
          <w:highlight w:val="none"/>
        </w:rPr>
        <w:t>八</w:t>
      </w:r>
      <w:r>
        <w:rPr>
          <w:rFonts w:ascii="仿宋" w:hAnsi="仿宋" w:eastAsia="仿宋" w:cs="Arial"/>
          <w:b/>
          <w:bCs/>
          <w:color w:val="auto"/>
          <w:sz w:val="24"/>
          <w:highlight w:val="none"/>
        </w:rPr>
        <w:t>、招标文件提供方式、时间及地点等：</w:t>
      </w:r>
      <w:r>
        <w:rPr>
          <w:rFonts w:ascii="仿宋" w:hAnsi="仿宋" w:eastAsia="仿宋" w:cs="Arial"/>
          <w:bCs/>
          <w:color w:val="auto"/>
          <w:sz w:val="24"/>
          <w:highlight w:val="none"/>
        </w:rPr>
        <w:br w:type="textWrapping"/>
      </w:r>
      <w:r>
        <w:rPr>
          <w:rFonts w:hint="eastAsia" w:ascii="仿宋" w:hAnsi="仿宋" w:eastAsia="仿宋" w:cs="Arial"/>
          <w:bCs/>
          <w:color w:val="auto"/>
          <w:sz w:val="24"/>
          <w:highlight w:val="none"/>
        </w:rPr>
        <w:t xml:space="preserve">     1.招标文件提供期限：2021年</w:t>
      </w:r>
      <w:r>
        <w:rPr>
          <w:rFonts w:hint="eastAsia" w:ascii="仿宋" w:hAnsi="仿宋" w:eastAsia="仿宋" w:cs="Arial"/>
          <w:bCs/>
          <w:color w:val="auto"/>
          <w:sz w:val="24"/>
          <w:highlight w:val="none"/>
          <w:lang w:val="en-US" w:eastAsia="zh-CN"/>
        </w:rPr>
        <w:t>04</w:t>
      </w:r>
      <w:r>
        <w:rPr>
          <w:rFonts w:hint="eastAsia" w:ascii="仿宋" w:hAnsi="仿宋" w:eastAsia="仿宋" w:cs="Arial"/>
          <w:bCs/>
          <w:color w:val="auto"/>
          <w:sz w:val="24"/>
          <w:highlight w:val="none"/>
        </w:rPr>
        <w:t>月</w:t>
      </w:r>
      <w:r>
        <w:rPr>
          <w:rFonts w:hint="eastAsia" w:ascii="仿宋" w:hAnsi="仿宋" w:eastAsia="仿宋" w:cs="Arial"/>
          <w:bCs/>
          <w:color w:val="auto"/>
          <w:sz w:val="24"/>
          <w:highlight w:val="none"/>
          <w:lang w:val="en-US" w:eastAsia="zh-CN"/>
        </w:rPr>
        <w:t>25</w:t>
      </w:r>
      <w:r>
        <w:rPr>
          <w:rFonts w:hint="eastAsia" w:ascii="仿宋" w:hAnsi="仿宋" w:eastAsia="仿宋" w:cs="Arial"/>
          <w:bCs/>
          <w:color w:val="auto"/>
          <w:sz w:val="24"/>
          <w:highlight w:val="none"/>
        </w:rPr>
        <w:t>日至2021年</w:t>
      </w:r>
      <w:r>
        <w:rPr>
          <w:rFonts w:hint="eastAsia" w:ascii="仿宋" w:hAnsi="仿宋" w:eastAsia="仿宋" w:cs="Arial"/>
          <w:bCs/>
          <w:color w:val="auto"/>
          <w:sz w:val="24"/>
          <w:highlight w:val="none"/>
          <w:lang w:val="en-US" w:eastAsia="zh-CN"/>
        </w:rPr>
        <w:t>04</w:t>
      </w:r>
      <w:r>
        <w:rPr>
          <w:rFonts w:hint="eastAsia" w:ascii="仿宋" w:hAnsi="仿宋" w:eastAsia="仿宋" w:cs="Arial"/>
          <w:bCs/>
          <w:color w:val="auto"/>
          <w:sz w:val="24"/>
          <w:highlight w:val="none"/>
        </w:rPr>
        <w:t>月</w:t>
      </w:r>
      <w:r>
        <w:rPr>
          <w:rFonts w:hint="eastAsia" w:ascii="仿宋" w:hAnsi="仿宋" w:eastAsia="仿宋" w:cs="Arial"/>
          <w:bCs/>
          <w:color w:val="auto"/>
          <w:sz w:val="24"/>
          <w:highlight w:val="none"/>
          <w:lang w:val="en-US" w:eastAsia="zh-CN"/>
        </w:rPr>
        <w:t>28</w:t>
      </w:r>
      <w:r>
        <w:rPr>
          <w:rFonts w:hint="eastAsia" w:ascii="仿宋" w:hAnsi="仿宋" w:eastAsia="仿宋" w:cs="Arial"/>
          <w:bCs/>
          <w:color w:val="auto"/>
          <w:sz w:val="24"/>
          <w:highlight w:val="none"/>
        </w:rPr>
        <w:t>日。</w:t>
      </w:r>
    </w:p>
    <w:p>
      <w:pPr>
        <w:spacing w:line="440" w:lineRule="exact"/>
        <w:ind w:firstLine="540" w:firstLineChars="225"/>
        <w:rPr>
          <w:rFonts w:hint="eastAsia" w:ascii="仿宋" w:hAnsi="仿宋" w:eastAsia="仿宋" w:cs="仿宋"/>
          <w:bCs/>
          <w:kern w:val="0"/>
          <w:sz w:val="24"/>
        </w:rPr>
      </w:pPr>
      <w:r>
        <w:rPr>
          <w:rFonts w:hint="eastAsia" w:ascii="仿宋" w:hAnsi="仿宋" w:eastAsia="仿宋" w:cs="Arial"/>
          <w:bCs/>
          <w:color w:val="auto"/>
          <w:sz w:val="24"/>
          <w:highlight w:val="none"/>
        </w:rPr>
        <w:t>2.招标文件获取方式：</w:t>
      </w:r>
      <w:r>
        <w:rPr>
          <w:rFonts w:hint="eastAsia" w:ascii="仿宋" w:hAnsi="仿宋" w:eastAsia="仿宋" w:cs="仿宋"/>
          <w:kern w:val="0"/>
          <w:sz w:val="24"/>
        </w:rPr>
        <w:t>携带</w:t>
      </w:r>
      <w:r>
        <w:rPr>
          <w:rFonts w:hint="eastAsia" w:ascii="仿宋" w:hAnsi="仿宋" w:eastAsia="仿宋" w:cs="仿宋"/>
          <w:bCs/>
          <w:kern w:val="0"/>
          <w:sz w:val="24"/>
        </w:rPr>
        <w:t>供应商营业执照副本复印件、授权委托书或单位介绍信、授权委托人身份证复印件等（加盖公章）现场获取(接受邮寄获取或邮箱获取，邮寄地址：</w:t>
      </w:r>
      <w:r>
        <w:rPr>
          <w:rFonts w:hint="eastAsia" w:ascii="仿宋" w:hAnsi="仿宋" w:eastAsia="仿宋" w:cs="Arial"/>
          <w:bCs/>
          <w:color w:val="auto"/>
          <w:sz w:val="24"/>
          <w:highlight w:val="none"/>
          <w:lang w:eastAsia="zh-CN"/>
        </w:rPr>
        <w:t>浙江省绍兴市越城区迪荡街道龙湖大厦17楼SP1704室</w:t>
      </w:r>
      <w:r>
        <w:rPr>
          <w:rFonts w:hint="eastAsia" w:ascii="仿宋" w:hAnsi="仿宋" w:eastAsia="仿宋" w:cs="仿宋"/>
          <w:kern w:val="0"/>
          <w:sz w:val="24"/>
        </w:rPr>
        <w:t>；收件人：</w:t>
      </w:r>
      <w:r>
        <w:rPr>
          <w:rFonts w:hint="eastAsia" w:ascii="仿宋" w:hAnsi="仿宋" w:eastAsia="仿宋" w:cs="Arial"/>
          <w:bCs/>
          <w:color w:val="auto"/>
          <w:sz w:val="24"/>
          <w:highlight w:val="none"/>
          <w:lang w:eastAsia="zh-CN"/>
        </w:rPr>
        <w:t>蒋丹</w:t>
      </w:r>
      <w:r>
        <w:rPr>
          <w:rFonts w:hint="eastAsia" w:ascii="仿宋" w:hAnsi="仿宋" w:eastAsia="仿宋" w:cs="仿宋"/>
          <w:kern w:val="0"/>
          <w:sz w:val="24"/>
        </w:rPr>
        <w:t>；联系电话：</w:t>
      </w:r>
      <w:r>
        <w:rPr>
          <w:rFonts w:hint="eastAsia" w:ascii="仿宋" w:hAnsi="仿宋" w:eastAsia="仿宋" w:cs="Arial"/>
          <w:bCs/>
          <w:color w:val="auto"/>
          <w:sz w:val="24"/>
          <w:highlight w:val="none"/>
        </w:rPr>
        <w:t>0575-88</w:t>
      </w:r>
      <w:r>
        <w:rPr>
          <w:rFonts w:hint="eastAsia" w:ascii="仿宋" w:hAnsi="仿宋" w:eastAsia="仿宋" w:cs="Arial"/>
          <w:bCs/>
          <w:color w:val="auto"/>
          <w:sz w:val="24"/>
          <w:highlight w:val="none"/>
          <w:lang w:val="en-US" w:eastAsia="zh-CN"/>
        </w:rPr>
        <w:t>622279</w:t>
      </w:r>
      <w:r>
        <w:rPr>
          <w:rFonts w:hint="eastAsia" w:ascii="仿宋" w:hAnsi="仿宋" w:eastAsia="仿宋" w:cs="仿宋"/>
          <w:kern w:val="0"/>
          <w:sz w:val="24"/>
        </w:rPr>
        <w:t>；邮箱：</w:t>
      </w:r>
      <w:r>
        <w:rPr>
          <w:rFonts w:hint="eastAsia" w:ascii="仿宋" w:hAnsi="仿宋" w:eastAsia="仿宋" w:cs="仿宋"/>
          <w:kern w:val="0"/>
          <w:sz w:val="24"/>
          <w:lang w:val="en-US" w:eastAsia="zh-CN"/>
        </w:rPr>
        <w:fldChar w:fldCharType="begin"/>
      </w:r>
      <w:r>
        <w:rPr>
          <w:rFonts w:hint="eastAsia" w:ascii="仿宋" w:hAnsi="仿宋" w:eastAsia="仿宋" w:cs="仿宋"/>
          <w:kern w:val="0"/>
          <w:sz w:val="24"/>
          <w:lang w:val="en-US" w:eastAsia="zh-CN"/>
        </w:rPr>
        <w:instrText xml:space="preserve"> HYPERLINK "mailto:869783475@qq.com）。" </w:instrText>
      </w:r>
      <w:r>
        <w:rPr>
          <w:rFonts w:hint="eastAsia" w:ascii="仿宋" w:hAnsi="仿宋" w:eastAsia="仿宋" w:cs="仿宋"/>
          <w:kern w:val="0"/>
          <w:sz w:val="24"/>
          <w:lang w:val="en-US" w:eastAsia="zh-CN"/>
        </w:rPr>
        <w:fldChar w:fldCharType="separate"/>
      </w:r>
      <w:r>
        <w:rPr>
          <w:rStyle w:val="4"/>
          <w:rFonts w:hint="eastAsia" w:ascii="仿宋" w:hAnsi="仿宋" w:eastAsia="仿宋" w:cs="仿宋"/>
          <w:kern w:val="0"/>
          <w:sz w:val="24"/>
          <w:lang w:val="en-US" w:eastAsia="zh-CN"/>
        </w:rPr>
        <w:t>1073994401</w:t>
      </w:r>
      <w:r>
        <w:rPr>
          <w:rStyle w:val="4"/>
          <w:rFonts w:hint="eastAsia" w:ascii="仿宋" w:hAnsi="仿宋" w:eastAsia="仿宋" w:cs="仿宋"/>
          <w:kern w:val="0"/>
          <w:sz w:val="24"/>
        </w:rPr>
        <w:t>@qq.com</w:t>
      </w:r>
      <w:r>
        <w:rPr>
          <w:rStyle w:val="4"/>
          <w:rFonts w:hint="eastAsia" w:ascii="仿宋" w:hAnsi="仿宋" w:eastAsia="仿宋" w:cs="仿宋"/>
          <w:bCs/>
          <w:kern w:val="0"/>
          <w:sz w:val="24"/>
        </w:rPr>
        <w:t>）。</w:t>
      </w:r>
      <w:r>
        <w:rPr>
          <w:rFonts w:hint="eastAsia" w:ascii="仿宋" w:hAnsi="仿宋" w:eastAsia="仿宋" w:cs="仿宋"/>
          <w:kern w:val="0"/>
          <w:sz w:val="24"/>
          <w:lang w:val="en-US" w:eastAsia="zh-CN"/>
        </w:rPr>
        <w:fldChar w:fldCharType="end"/>
      </w:r>
    </w:p>
    <w:p>
      <w:pPr>
        <w:spacing w:line="440" w:lineRule="exact"/>
        <w:ind w:firstLine="540" w:firstLineChars="225"/>
        <w:rPr>
          <w:rFonts w:hint="eastAsia" w:ascii="仿宋" w:hAnsi="仿宋" w:eastAsia="仿宋" w:cs="Arial"/>
          <w:bCs/>
          <w:color w:val="auto"/>
          <w:sz w:val="24"/>
          <w:highlight w:val="none"/>
        </w:rPr>
      </w:pPr>
      <w:r>
        <w:rPr>
          <w:rFonts w:hint="eastAsia" w:ascii="仿宋" w:hAnsi="仿宋" w:eastAsia="仿宋" w:cs="Arial"/>
          <w:bCs/>
          <w:color w:val="auto"/>
          <w:sz w:val="24"/>
          <w:highlight w:val="none"/>
        </w:rPr>
        <w:t xml:space="preserve">3.招标文件售价：无。 </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Arial"/>
          <w:bCs/>
          <w:color w:val="auto"/>
          <w:sz w:val="24"/>
          <w:highlight w:val="none"/>
          <w:lang w:val="en-US" w:eastAsia="zh-CN"/>
        </w:rPr>
        <w:t>4.</w:t>
      </w:r>
      <w:r>
        <w:rPr>
          <w:rFonts w:hint="eastAsia" w:ascii="仿宋" w:hAnsi="仿宋" w:eastAsia="仿宋" w:cs="仿宋"/>
          <w:bCs/>
          <w:color w:val="auto"/>
          <w:sz w:val="24"/>
          <w:highlight w:val="none"/>
        </w:rPr>
        <w:t xml:space="preserve"> 提示：</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（1）采购代理机构将拒绝接受未获取</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文件供应商的</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响应文件。</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文件的提供期限截止之日之后有潜在供应商提出获取</w:t>
      </w:r>
      <w:r>
        <w:rPr>
          <w:rFonts w:hint="eastAsia" w:ascii="仿宋" w:hAnsi="仿宋" w:eastAsia="仿宋"/>
          <w:color w:val="auto"/>
          <w:sz w:val="24"/>
          <w:highlight w:val="none"/>
        </w:rPr>
        <w:t>谈判</w:t>
      </w:r>
      <w:r>
        <w:rPr>
          <w:rFonts w:hint="eastAsia" w:ascii="仿宋" w:hAnsi="仿宋" w:eastAsia="仿宋" w:cs="仿宋"/>
          <w:bCs/>
          <w:color w:val="auto"/>
          <w:sz w:val="24"/>
          <w:highlight w:val="none"/>
        </w:rPr>
        <w:t>文件的，采购代理机构将允许其获取。</w:t>
      </w:r>
    </w:p>
    <w:p>
      <w:pPr>
        <w:spacing w:line="288"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（3）更正补充公告请自行登录绍兴市财政局网查看下载。</w:t>
      </w:r>
    </w:p>
    <w:p>
      <w:pPr>
        <w:spacing w:line="440" w:lineRule="exact"/>
        <w:ind w:firstLine="542" w:firstLineChars="225"/>
        <w:rPr>
          <w:rFonts w:ascii="仿宋" w:hAnsi="仿宋" w:eastAsia="仿宋"/>
          <w:color w:val="auto"/>
          <w:sz w:val="24"/>
          <w:highlight w:val="none"/>
        </w:rPr>
      </w:pPr>
      <w:r>
        <w:rPr>
          <w:rFonts w:hint="eastAsia" w:ascii="仿宋" w:hAnsi="仿宋" w:eastAsia="仿宋" w:cs="Arial"/>
          <w:b/>
          <w:bCs/>
          <w:color w:val="auto"/>
          <w:sz w:val="24"/>
          <w:highlight w:val="none"/>
        </w:rPr>
        <w:t>八、谈判截止时间及地点</w:t>
      </w:r>
      <w:r>
        <w:rPr>
          <w:rFonts w:hint="eastAsia" w:ascii="仿宋" w:hAnsi="仿宋" w:eastAsia="仿宋" w:cs="Arial"/>
          <w:color w:val="auto"/>
          <w:sz w:val="24"/>
          <w:highlight w:val="none"/>
        </w:rPr>
        <w:t>：</w:t>
      </w:r>
      <w:r>
        <w:rPr>
          <w:rFonts w:hint="eastAsia" w:ascii="仿宋" w:hAnsi="仿宋" w:eastAsia="仿宋"/>
          <w:color w:val="auto"/>
          <w:sz w:val="24"/>
          <w:highlight w:val="none"/>
        </w:rPr>
        <w:t>供应商应于</w:t>
      </w:r>
      <w:r>
        <w:rPr>
          <w:rFonts w:hint="eastAsia" w:ascii="仿宋" w:hAnsi="仿宋" w:eastAsia="仿宋" w:cs="宋体"/>
          <w:bCs/>
          <w:color w:val="auto"/>
          <w:kern w:val="0"/>
          <w:sz w:val="24"/>
          <w:highlight w:val="none"/>
        </w:rPr>
        <w:t>2021年</w:t>
      </w:r>
      <w:r>
        <w:rPr>
          <w:rFonts w:hint="eastAsia" w:ascii="仿宋" w:hAnsi="仿宋" w:eastAsia="仿宋" w:cs="宋体"/>
          <w:bCs/>
          <w:color w:val="auto"/>
          <w:kern w:val="0"/>
          <w:sz w:val="24"/>
          <w:highlight w:val="none"/>
          <w:lang w:val="en-US" w:eastAsia="zh-CN"/>
        </w:rPr>
        <w:t>04</w:t>
      </w:r>
      <w:r>
        <w:rPr>
          <w:rFonts w:hint="eastAsia" w:ascii="仿宋" w:hAnsi="仿宋" w:eastAsia="仿宋" w:cs="宋体"/>
          <w:bCs/>
          <w:color w:val="auto"/>
          <w:kern w:val="0"/>
          <w:sz w:val="24"/>
          <w:highlight w:val="none"/>
        </w:rPr>
        <w:t>月</w:t>
      </w:r>
      <w:r>
        <w:rPr>
          <w:rFonts w:hint="eastAsia" w:ascii="仿宋" w:hAnsi="仿宋" w:eastAsia="仿宋" w:cs="宋体"/>
          <w:bCs/>
          <w:color w:val="auto"/>
          <w:kern w:val="0"/>
          <w:sz w:val="24"/>
          <w:highlight w:val="none"/>
          <w:lang w:val="en-US" w:eastAsia="zh-CN"/>
        </w:rPr>
        <w:t>30</w:t>
      </w:r>
      <w:r>
        <w:rPr>
          <w:rFonts w:hint="eastAsia" w:ascii="仿宋" w:hAnsi="仿宋" w:eastAsia="仿宋" w:cs="宋体"/>
          <w:bCs/>
          <w:color w:val="auto"/>
          <w:kern w:val="0"/>
          <w:sz w:val="24"/>
          <w:highlight w:val="none"/>
        </w:rPr>
        <w:t>日</w:t>
      </w: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30</w:t>
      </w:r>
      <w:r>
        <w:rPr>
          <w:rFonts w:hint="eastAsia" w:ascii="仿宋" w:hAnsi="仿宋" w:eastAsia="仿宋"/>
          <w:color w:val="auto"/>
          <w:sz w:val="24"/>
          <w:highlight w:val="none"/>
        </w:rPr>
        <w:t>时以前将谈判响应文件密封送交到</w:t>
      </w:r>
      <w:r>
        <w:rPr>
          <w:rFonts w:hint="eastAsia" w:ascii="仿宋" w:hAnsi="仿宋" w:eastAsia="仿宋" w:cs="Arial"/>
          <w:bCs/>
          <w:color w:val="auto"/>
          <w:sz w:val="24"/>
          <w:highlight w:val="none"/>
          <w:lang w:eastAsia="zh-CN"/>
        </w:rPr>
        <w:t>绍兴市奋进工程造价咨询有限公司</w:t>
      </w:r>
      <w:r>
        <w:rPr>
          <w:rFonts w:hint="eastAsia" w:ascii="仿宋" w:hAnsi="仿宋" w:eastAsia="仿宋" w:cs="Arial"/>
          <w:bCs/>
          <w:color w:val="auto"/>
          <w:sz w:val="24"/>
          <w:highlight w:val="none"/>
        </w:rPr>
        <w:t>（地址：</w:t>
      </w:r>
      <w:r>
        <w:rPr>
          <w:rFonts w:hint="eastAsia" w:ascii="仿宋" w:hAnsi="仿宋" w:eastAsia="仿宋" w:cs="Arial"/>
          <w:bCs/>
          <w:color w:val="auto"/>
          <w:sz w:val="24"/>
          <w:highlight w:val="none"/>
          <w:lang w:eastAsia="zh-CN"/>
        </w:rPr>
        <w:t>浙江省绍兴市越城区迪荡街道龙湖大厦17楼SP1704室</w:t>
      </w:r>
      <w:r>
        <w:rPr>
          <w:rFonts w:hint="eastAsia" w:ascii="仿宋" w:hAnsi="仿宋" w:eastAsia="仿宋" w:cs="Arial"/>
          <w:bCs/>
          <w:color w:val="auto"/>
          <w:sz w:val="24"/>
          <w:highlight w:val="none"/>
        </w:rPr>
        <w:t>）开标室</w:t>
      </w:r>
      <w:r>
        <w:rPr>
          <w:rFonts w:hint="eastAsia" w:ascii="仿宋" w:hAnsi="仿宋" w:eastAsia="仿宋"/>
          <w:color w:val="auto"/>
          <w:sz w:val="24"/>
          <w:highlight w:val="none"/>
        </w:rPr>
        <w:t>，逾期送达不予接收。</w:t>
      </w:r>
    </w:p>
    <w:p>
      <w:pPr>
        <w:spacing w:line="440" w:lineRule="exact"/>
        <w:ind w:firstLine="482" w:firstLineChars="200"/>
        <w:rPr>
          <w:rFonts w:ascii="仿宋" w:hAnsi="仿宋" w:eastAsia="仿宋" w:cs="Arial"/>
          <w:color w:val="auto"/>
          <w:sz w:val="24"/>
          <w:highlight w:val="none"/>
        </w:rPr>
      </w:pPr>
      <w:r>
        <w:rPr>
          <w:rFonts w:hint="eastAsia" w:ascii="仿宋" w:hAnsi="仿宋" w:eastAsia="仿宋" w:cs="Arial"/>
          <w:b/>
          <w:bCs/>
          <w:color w:val="auto"/>
          <w:sz w:val="24"/>
          <w:highlight w:val="none"/>
        </w:rPr>
        <w:t>九、谈判时间及地点</w:t>
      </w:r>
      <w:r>
        <w:rPr>
          <w:rFonts w:hint="eastAsia" w:ascii="仿宋" w:hAnsi="仿宋" w:eastAsia="仿宋" w:cs="Arial"/>
          <w:color w:val="auto"/>
          <w:sz w:val="24"/>
          <w:highlight w:val="none"/>
        </w:rPr>
        <w:t>：</w:t>
      </w:r>
      <w:r>
        <w:rPr>
          <w:rFonts w:hint="eastAsia" w:ascii="仿宋" w:hAnsi="仿宋" w:eastAsia="仿宋" w:cs="宋体"/>
          <w:bCs/>
          <w:color w:val="auto"/>
          <w:kern w:val="0"/>
          <w:sz w:val="24"/>
          <w:highlight w:val="none"/>
        </w:rPr>
        <w:t>2021年</w:t>
      </w:r>
      <w:r>
        <w:rPr>
          <w:rFonts w:hint="eastAsia" w:ascii="仿宋" w:hAnsi="仿宋" w:eastAsia="仿宋" w:cs="宋体"/>
          <w:bCs/>
          <w:color w:val="auto"/>
          <w:kern w:val="0"/>
          <w:sz w:val="24"/>
          <w:highlight w:val="none"/>
          <w:lang w:val="en-US" w:eastAsia="zh-CN"/>
        </w:rPr>
        <w:t>04</w:t>
      </w:r>
      <w:r>
        <w:rPr>
          <w:rFonts w:hint="eastAsia" w:ascii="仿宋" w:hAnsi="仿宋" w:eastAsia="仿宋" w:cs="宋体"/>
          <w:bCs/>
          <w:color w:val="auto"/>
          <w:kern w:val="0"/>
          <w:sz w:val="24"/>
          <w:highlight w:val="none"/>
        </w:rPr>
        <w:t>月</w:t>
      </w:r>
      <w:r>
        <w:rPr>
          <w:rFonts w:hint="eastAsia" w:ascii="仿宋" w:hAnsi="仿宋" w:eastAsia="仿宋" w:cs="宋体"/>
          <w:bCs/>
          <w:color w:val="auto"/>
          <w:kern w:val="0"/>
          <w:sz w:val="24"/>
          <w:highlight w:val="none"/>
          <w:lang w:val="en-US" w:eastAsia="zh-CN"/>
        </w:rPr>
        <w:t>30</w:t>
      </w:r>
      <w:r>
        <w:rPr>
          <w:rFonts w:hint="eastAsia" w:ascii="仿宋" w:hAnsi="仿宋" w:eastAsia="仿宋" w:cs="宋体"/>
          <w:bCs/>
          <w:color w:val="auto"/>
          <w:kern w:val="0"/>
          <w:sz w:val="24"/>
          <w:highlight w:val="none"/>
        </w:rPr>
        <w:t>日</w:t>
      </w:r>
      <w:r>
        <w:rPr>
          <w:rFonts w:hint="eastAsia" w:ascii="仿宋" w:hAnsi="仿宋" w:eastAsia="仿宋"/>
          <w:color w:val="auto"/>
          <w:sz w:val="24"/>
          <w:highlight w:val="none"/>
          <w:lang w:val="en-US" w:eastAsia="zh-CN"/>
        </w:rPr>
        <w:t>14</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30</w:t>
      </w:r>
      <w:r>
        <w:rPr>
          <w:rFonts w:hint="eastAsia" w:ascii="仿宋" w:hAnsi="仿宋" w:eastAsia="仿宋"/>
          <w:color w:val="auto"/>
          <w:sz w:val="24"/>
          <w:highlight w:val="none"/>
        </w:rPr>
        <w:t>时</w:t>
      </w:r>
      <w:r>
        <w:rPr>
          <w:rFonts w:hint="eastAsia" w:ascii="仿宋" w:hAnsi="仿宋" w:eastAsia="仿宋" w:cs="Arial"/>
          <w:color w:val="auto"/>
          <w:sz w:val="24"/>
          <w:highlight w:val="none"/>
        </w:rPr>
        <w:t>在</w:t>
      </w:r>
      <w:r>
        <w:rPr>
          <w:rFonts w:hint="eastAsia" w:ascii="仿宋" w:hAnsi="仿宋" w:eastAsia="仿宋" w:cs="Arial"/>
          <w:bCs/>
          <w:color w:val="auto"/>
          <w:sz w:val="24"/>
          <w:highlight w:val="none"/>
          <w:lang w:eastAsia="zh-CN"/>
        </w:rPr>
        <w:t>绍兴市奋进工程造价咨询有限公司</w:t>
      </w:r>
      <w:r>
        <w:rPr>
          <w:rFonts w:hint="eastAsia" w:ascii="仿宋" w:hAnsi="仿宋" w:eastAsia="仿宋" w:cs="Arial"/>
          <w:bCs/>
          <w:color w:val="auto"/>
          <w:sz w:val="24"/>
          <w:highlight w:val="none"/>
        </w:rPr>
        <w:t>（地址：</w:t>
      </w:r>
      <w:r>
        <w:rPr>
          <w:rFonts w:hint="eastAsia" w:ascii="仿宋" w:hAnsi="仿宋" w:eastAsia="仿宋" w:cs="Arial"/>
          <w:bCs/>
          <w:color w:val="auto"/>
          <w:sz w:val="24"/>
          <w:highlight w:val="none"/>
          <w:lang w:eastAsia="zh-CN"/>
        </w:rPr>
        <w:t>浙江省绍兴市越城区迪荡街道龙湖大厦17楼SP1704室</w:t>
      </w:r>
      <w:r>
        <w:rPr>
          <w:rFonts w:hint="eastAsia" w:ascii="仿宋" w:hAnsi="仿宋" w:eastAsia="仿宋" w:cs="Arial"/>
          <w:bCs/>
          <w:color w:val="auto"/>
          <w:sz w:val="24"/>
          <w:highlight w:val="none"/>
        </w:rPr>
        <w:t>）开标室</w:t>
      </w:r>
      <w:r>
        <w:rPr>
          <w:rFonts w:hint="eastAsia" w:ascii="仿宋" w:hAnsi="仿宋" w:eastAsia="仿宋" w:cs="Arial"/>
          <w:color w:val="auto"/>
          <w:sz w:val="24"/>
          <w:highlight w:val="none"/>
        </w:rPr>
        <w:t>谈判，法定代表人或其授权代表必须出席谈判。</w:t>
      </w:r>
    </w:p>
    <w:p>
      <w:pPr>
        <w:spacing w:line="440" w:lineRule="exact"/>
        <w:ind w:firstLine="482" w:firstLineChars="200"/>
        <w:rPr>
          <w:rFonts w:ascii="仿宋" w:hAnsi="仿宋" w:eastAsia="仿宋" w:cs="Arial"/>
          <w:color w:val="auto"/>
          <w:sz w:val="24"/>
          <w:highlight w:val="none"/>
        </w:rPr>
      </w:pPr>
      <w:r>
        <w:rPr>
          <w:rFonts w:hint="eastAsia" w:ascii="仿宋" w:hAnsi="仿宋" w:eastAsia="仿宋" w:cs="Arial"/>
          <w:b/>
          <w:bCs/>
          <w:color w:val="auto"/>
          <w:sz w:val="24"/>
          <w:highlight w:val="none"/>
        </w:rPr>
        <w:t>十、谈判保证金</w:t>
      </w:r>
      <w:r>
        <w:rPr>
          <w:rFonts w:hint="eastAsia" w:ascii="仿宋" w:hAnsi="仿宋" w:eastAsia="仿宋" w:cs="Arial"/>
          <w:color w:val="auto"/>
          <w:sz w:val="24"/>
          <w:highlight w:val="none"/>
        </w:rPr>
        <w:t>：无。</w:t>
      </w:r>
    </w:p>
    <w:p>
      <w:pPr>
        <w:spacing w:line="440" w:lineRule="exact"/>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十一、</w:t>
      </w:r>
      <w:r>
        <w:rPr>
          <w:rFonts w:hint="eastAsia" w:ascii="仿宋" w:hAnsi="仿宋" w:eastAsia="仿宋" w:cs="Arial"/>
          <w:b/>
          <w:color w:val="auto"/>
          <w:sz w:val="24"/>
          <w:highlight w:val="none"/>
        </w:rPr>
        <w:t>竞争性谈判公告发布：</w:t>
      </w:r>
      <w:r>
        <w:rPr>
          <w:rFonts w:hint="eastAsia" w:ascii="仿宋" w:hAnsi="仿宋" w:eastAsia="仿宋" w:cs="Arial"/>
          <w:bCs/>
          <w:color w:val="auto"/>
          <w:sz w:val="24"/>
          <w:highlight w:val="none"/>
        </w:rPr>
        <w:t>http://sxcs.sx.gov.cn/</w:t>
      </w:r>
    </w:p>
    <w:p>
      <w:pPr>
        <w:spacing w:line="440" w:lineRule="exact"/>
        <w:ind w:firstLine="482" w:firstLineChars="200"/>
        <w:rPr>
          <w:rFonts w:hint="eastAsia" w:ascii="仿宋" w:hAnsi="仿宋" w:eastAsia="仿宋" w:cs="Arial"/>
          <w:b/>
          <w:bCs/>
          <w:color w:val="auto"/>
          <w:sz w:val="24"/>
          <w:highlight w:val="none"/>
        </w:rPr>
      </w:pPr>
      <w:r>
        <w:rPr>
          <w:rFonts w:hint="eastAsia" w:ascii="仿宋" w:hAnsi="仿宋" w:eastAsia="仿宋" w:cs="Arial"/>
          <w:b/>
          <w:bCs/>
          <w:color w:val="auto"/>
          <w:sz w:val="24"/>
          <w:highlight w:val="none"/>
        </w:rPr>
        <w:t>十二、公告有效期：本公告发布之日起五个工作日</w:t>
      </w:r>
    </w:p>
    <w:p>
      <w:pPr>
        <w:widowControl/>
        <w:snapToGrid w:val="0"/>
        <w:spacing w:line="288" w:lineRule="auto"/>
        <w:ind w:firstLine="482" w:firstLineChars="200"/>
        <w:rPr>
          <w:rFonts w:ascii="仿宋" w:hAnsi="仿宋" w:eastAsia="仿宋" w:cs="仿宋"/>
          <w:b/>
          <w:color w:val="auto"/>
          <w:kern w:val="0"/>
          <w:sz w:val="24"/>
          <w:highlight w:val="none"/>
        </w:rPr>
      </w:pPr>
      <w:r>
        <w:rPr>
          <w:rFonts w:hint="eastAsia" w:ascii="仿宋" w:hAnsi="仿宋" w:eastAsia="仿宋" w:cs="Arial"/>
          <w:b/>
          <w:bCs/>
          <w:color w:val="auto"/>
          <w:sz w:val="24"/>
          <w:highlight w:val="none"/>
        </w:rPr>
        <w:t>十三、</w:t>
      </w:r>
      <w:r>
        <w:rPr>
          <w:rFonts w:hint="eastAsia" w:ascii="仿宋" w:hAnsi="仿宋" w:eastAsia="仿宋" w:cs="仿宋"/>
          <w:b/>
          <w:color w:val="auto"/>
          <w:kern w:val="0"/>
          <w:sz w:val="24"/>
          <w:highlight w:val="none"/>
        </w:rPr>
        <w:t>其他补充事宜</w:t>
      </w:r>
    </w:p>
    <w:p>
      <w:pPr>
        <w:widowControl/>
        <w:snapToGrid w:val="0"/>
        <w:spacing w:line="288"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1.供应商认为采购文件使自己的权益受到损害的，可以自获取采购文件之日或 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288" w:lineRule="auto"/>
        <w:ind w:firstLine="480" w:firstLineChars="200"/>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2.其他事项：</w:t>
      </w:r>
      <w:r>
        <w:rPr>
          <w:rFonts w:hint="eastAsia" w:ascii="仿宋" w:hAnsi="仿宋" w:eastAsia="仿宋" w:cs="宋体"/>
          <w:color w:val="auto"/>
          <w:kern w:val="0"/>
          <w:sz w:val="24"/>
          <w:highlight w:val="none"/>
          <w:lang w:eastAsia="zh-CN"/>
        </w:rPr>
        <w:t>无</w:t>
      </w:r>
    </w:p>
    <w:p>
      <w:pPr>
        <w:spacing w:line="420" w:lineRule="exact"/>
        <w:ind w:firstLine="482" w:firstLineChars="200"/>
        <w:rPr>
          <w:rFonts w:ascii="仿宋" w:hAnsi="仿宋" w:eastAsia="仿宋" w:cs="仿宋"/>
          <w:color w:val="000000"/>
          <w:sz w:val="24"/>
        </w:rPr>
      </w:pPr>
      <w:r>
        <w:rPr>
          <w:rFonts w:hint="eastAsia" w:ascii="仿宋" w:hAnsi="仿宋" w:eastAsia="仿宋" w:cs="仿宋"/>
          <w:b/>
          <w:bCs/>
          <w:sz w:val="24"/>
        </w:rPr>
        <w:t>十</w:t>
      </w:r>
      <w:r>
        <w:rPr>
          <w:rFonts w:hint="eastAsia" w:ascii="仿宋" w:hAnsi="仿宋" w:eastAsia="仿宋" w:cs="仿宋"/>
          <w:b/>
          <w:bCs/>
          <w:sz w:val="24"/>
          <w:lang w:eastAsia="zh-CN"/>
        </w:rPr>
        <w:t>四</w:t>
      </w:r>
      <w:r>
        <w:rPr>
          <w:rFonts w:hint="eastAsia" w:ascii="仿宋" w:hAnsi="仿宋" w:eastAsia="仿宋" w:cs="仿宋"/>
          <w:b/>
          <w:bCs/>
          <w:sz w:val="24"/>
        </w:rPr>
        <w:t>、投标与</w:t>
      </w:r>
      <w:r>
        <w:rPr>
          <w:rFonts w:hint="eastAsia" w:ascii="仿宋" w:hAnsi="仿宋" w:eastAsia="仿宋" w:cs="仿宋"/>
          <w:b/>
          <w:bCs/>
          <w:color w:val="000000"/>
          <w:sz w:val="24"/>
        </w:rPr>
        <w:t>开标注意事项：</w:t>
      </w:r>
    </w:p>
    <w:p>
      <w:p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rPr>
        <w:t>因疫情防控期间，本项目投标与开标采用以下方式：</w:t>
      </w:r>
    </w:p>
    <w:p>
      <w:pPr>
        <w:numPr>
          <w:ilvl w:val="0"/>
          <w:numId w:val="2"/>
        </w:num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允许投标人采用邮寄方式提交投标文件（建议采用EMS或顺丰），有现场提交的，实行即交即走。</w:t>
      </w:r>
      <w:r>
        <w:rPr>
          <w:rFonts w:hint="eastAsia" w:ascii="仿宋" w:hAnsi="仿宋" w:eastAsia="仿宋" w:cs="宋体"/>
          <w:bCs/>
          <w:kern w:val="0"/>
          <w:sz w:val="24"/>
        </w:rPr>
        <w:t>本项目二次报价只能低于或同等于第一次报价，不能高于第一次报价。二次报价文件请单独密封封装，</w:t>
      </w:r>
      <w:r>
        <w:rPr>
          <w:rFonts w:hint="eastAsia" w:ascii="仿宋" w:hAnsi="仿宋" w:eastAsia="仿宋" w:cs="宋体"/>
          <w:kern w:val="0"/>
          <w:sz w:val="24"/>
        </w:rPr>
        <w:t>封口处加盖投标人公章和法定代表人或授权委托人签字或盖章，并在密封袋上清楚地标明“项目名称：</w:t>
      </w:r>
      <w:r>
        <w:rPr>
          <w:rFonts w:hint="eastAsia" w:ascii="仿宋" w:hAnsi="仿宋" w:eastAsia="仿宋" w:cs="宋体"/>
          <w:kern w:val="0"/>
          <w:sz w:val="24"/>
          <w:u w:val="single"/>
        </w:rPr>
        <w:t xml:space="preserve">          </w:t>
      </w:r>
      <w:r>
        <w:rPr>
          <w:rFonts w:hint="eastAsia" w:ascii="仿宋" w:hAnsi="仿宋" w:eastAsia="仿宋" w:cs="宋体"/>
          <w:kern w:val="0"/>
          <w:sz w:val="24"/>
        </w:rPr>
        <w:t>最终报价”和“技术文件评审完毕前不得开封”字样。</w:t>
      </w:r>
      <w:r>
        <w:rPr>
          <w:rFonts w:hint="eastAsia" w:ascii="仿宋" w:hAnsi="仿宋" w:eastAsia="仿宋" w:cs="宋体"/>
          <w:bCs/>
          <w:kern w:val="0"/>
          <w:sz w:val="24"/>
        </w:rPr>
        <w:t>请与技术文件、商务文件一起于投标截止时间前以快递（建议采用EMS）方式将投标文件邮寄至投标地点。</w:t>
      </w:r>
      <w:r>
        <w:rPr>
          <w:rFonts w:hint="eastAsia" w:ascii="仿宋" w:hAnsi="仿宋" w:eastAsia="仿宋" w:cs="仿宋"/>
          <w:bCs/>
          <w:color w:val="000000"/>
          <w:sz w:val="24"/>
        </w:rPr>
        <w:t>邮寄地址：浙江省绍兴市越城区迪荡街道龙湖大厦17楼SP1704室（绍兴市奋进工程造价咨询有限公司），收件人：</w:t>
      </w:r>
      <w:r>
        <w:rPr>
          <w:rFonts w:hint="eastAsia" w:ascii="仿宋" w:hAnsi="仿宋" w:eastAsia="仿宋" w:cs="仿宋"/>
          <w:bCs/>
          <w:color w:val="000000"/>
          <w:sz w:val="24"/>
          <w:lang w:eastAsia="zh-CN"/>
        </w:rPr>
        <w:t>蒋丹</w:t>
      </w:r>
      <w:r>
        <w:rPr>
          <w:rFonts w:hint="eastAsia" w:ascii="仿宋" w:hAnsi="仿宋" w:eastAsia="仿宋" w:cs="仿宋"/>
          <w:bCs/>
          <w:color w:val="000000"/>
          <w:sz w:val="24"/>
        </w:rPr>
        <w:t>，联系电话：</w:t>
      </w:r>
      <w:r>
        <w:rPr>
          <w:rFonts w:hint="eastAsia" w:ascii="仿宋" w:hAnsi="仿宋" w:eastAsia="仿宋" w:cs="仿宋"/>
          <w:bCs/>
          <w:color w:val="000000"/>
          <w:sz w:val="24"/>
          <w:lang w:val="en-US" w:eastAsia="zh-CN"/>
        </w:rPr>
        <w:t>17826810855</w:t>
      </w:r>
      <w:r>
        <w:rPr>
          <w:rFonts w:hint="eastAsia" w:ascii="仿宋" w:hAnsi="仿宋" w:eastAsia="仿宋" w:cs="仿宋"/>
          <w:bCs/>
          <w:color w:val="000000"/>
          <w:sz w:val="24"/>
        </w:rPr>
        <w:t>。</w:t>
      </w:r>
    </w:p>
    <w:p>
      <w:pPr>
        <w:numPr>
          <w:ilvl w:val="0"/>
          <w:numId w:val="0"/>
        </w:numPr>
        <w:spacing w:line="360" w:lineRule="auto"/>
        <w:ind w:firstLine="480" w:firstLineChars="200"/>
        <w:rPr>
          <w:rFonts w:ascii="仿宋" w:hAnsi="仿宋" w:eastAsia="仿宋" w:cs="仿宋"/>
          <w:bCs/>
          <w:color w:val="000000"/>
          <w:sz w:val="24"/>
        </w:rPr>
      </w:pPr>
      <w:r>
        <w:rPr>
          <w:rFonts w:hint="eastAsia" w:ascii="仿宋" w:hAnsi="仿宋" w:eastAsia="仿宋" w:cs="仿宋"/>
          <w:bCs/>
          <w:color w:val="000000"/>
          <w:sz w:val="24"/>
          <w:lang w:val="en-US" w:eastAsia="zh-CN"/>
        </w:rPr>
        <w:t>2</w:t>
      </w:r>
      <w:r>
        <w:rPr>
          <w:rFonts w:hint="eastAsia" w:ascii="仿宋" w:hAnsi="仿宋" w:eastAsia="仿宋" w:cs="仿宋"/>
          <w:bCs/>
          <w:color w:val="000000"/>
          <w:sz w:val="24"/>
        </w:rPr>
        <w:t>.取消投标人相关人员到现场参加开标的要求；取消投标人在开标现场的书面签字确认等有关操作要求。</w:t>
      </w:r>
    </w:p>
    <w:p>
      <w:pPr>
        <w:widowControl/>
        <w:snapToGrid w:val="0"/>
        <w:spacing w:line="288"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3.评标时如遇需要投标人进行澄清、说明或者补正的，将提供指定的电子邮箱作出澄清、说明或者补正，提交澄清、说明或补正的时间为半小时内。</w:t>
      </w:r>
    </w:p>
    <w:p>
      <w:pPr>
        <w:widowControl/>
        <w:snapToGrid w:val="0"/>
        <w:spacing w:line="288" w:lineRule="auto"/>
        <w:ind w:firstLine="482" w:firstLineChars="200"/>
        <w:rPr>
          <w:rFonts w:ascii="仿宋" w:hAnsi="仿宋" w:eastAsia="仿宋" w:cs="宋体"/>
          <w:b/>
          <w:color w:val="auto"/>
          <w:kern w:val="0"/>
          <w:sz w:val="24"/>
          <w:highlight w:val="none"/>
        </w:rPr>
      </w:pPr>
      <w:r>
        <w:rPr>
          <w:rFonts w:hint="eastAsia" w:ascii="仿宋" w:hAnsi="仿宋" w:eastAsia="仿宋" w:cs="宋体"/>
          <w:b/>
          <w:color w:val="auto"/>
          <w:kern w:val="0"/>
          <w:sz w:val="24"/>
          <w:highlight w:val="none"/>
        </w:rPr>
        <w:t>十</w:t>
      </w:r>
      <w:r>
        <w:rPr>
          <w:rFonts w:hint="eastAsia" w:ascii="仿宋" w:hAnsi="仿宋" w:eastAsia="仿宋" w:cs="宋体"/>
          <w:b/>
          <w:color w:val="auto"/>
          <w:kern w:val="0"/>
          <w:sz w:val="24"/>
          <w:highlight w:val="none"/>
          <w:lang w:eastAsia="zh-CN"/>
        </w:rPr>
        <w:t>五</w:t>
      </w:r>
      <w:r>
        <w:rPr>
          <w:rFonts w:hint="eastAsia" w:ascii="仿宋" w:hAnsi="仿宋" w:eastAsia="仿宋" w:cs="宋体"/>
          <w:b/>
          <w:color w:val="auto"/>
          <w:kern w:val="0"/>
          <w:sz w:val="24"/>
          <w:highlight w:val="none"/>
        </w:rPr>
        <w:t>、对本次采购提出询问、质疑、投诉，请按以下方式联系</w:t>
      </w:r>
    </w:p>
    <w:p>
      <w:pPr>
        <w:widowControl/>
        <w:snapToGrid w:val="0"/>
        <w:spacing w:line="288"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绍兴市财政局                           童慧群   </w:t>
      </w:r>
      <w:r>
        <w:rPr>
          <w:rFonts w:ascii="仿宋" w:hAnsi="仿宋" w:eastAsia="仿宋" w:cs="宋体"/>
          <w:color w:val="auto"/>
          <w:kern w:val="0"/>
          <w:sz w:val="24"/>
          <w:highlight w:val="none"/>
        </w:rPr>
        <w:t>0575-85209616</w:t>
      </w:r>
    </w:p>
    <w:p>
      <w:pPr>
        <w:spacing w:line="440" w:lineRule="exact"/>
        <w:ind w:firstLine="480" w:firstLineChars="200"/>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lang w:eastAsia="zh-CN"/>
        </w:rPr>
        <w:t>绍兴市奋进工程造价咨询有限公司</w:t>
      </w:r>
      <w:r>
        <w:rPr>
          <w:rFonts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eastAsia="zh-CN"/>
        </w:rPr>
        <w:t>蒋丹</w:t>
      </w:r>
      <w:r>
        <w:rPr>
          <w:rFonts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eastAsia="zh-CN"/>
        </w:rPr>
        <w:t>0575-88622279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15DBEA"/>
    <w:multiLevelType w:val="singleLevel"/>
    <w:tmpl w:val="F515DBEA"/>
    <w:lvl w:ilvl="0" w:tentative="0">
      <w:start w:val="4"/>
      <w:numFmt w:val="chineseCounting"/>
      <w:suff w:val="nothing"/>
      <w:lvlText w:val="%1、"/>
      <w:lvlJc w:val="left"/>
      <w:rPr>
        <w:rFonts w:hint="eastAsia"/>
        <w:b/>
      </w:rPr>
    </w:lvl>
  </w:abstractNum>
  <w:abstractNum w:abstractNumId="1">
    <w:nsid w:val="37C94248"/>
    <w:multiLevelType w:val="singleLevel"/>
    <w:tmpl w:val="37C9424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B0F5A"/>
    <w:rsid w:val="0AE0633E"/>
    <w:rsid w:val="17507258"/>
    <w:rsid w:val="1CD06B8C"/>
    <w:rsid w:val="2DB271CA"/>
    <w:rsid w:val="384668C6"/>
    <w:rsid w:val="38853586"/>
    <w:rsid w:val="398B0F5A"/>
    <w:rsid w:val="6A0E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ind w:left="425" w:hanging="425"/>
      <w:outlineLvl w:val="0"/>
    </w:pPr>
    <w:rPr>
      <w:rFonts w:eastAsia="仿宋_GB2312"/>
      <w:b/>
      <w:kern w:val="44"/>
      <w:sz w:val="44"/>
      <w:szCs w:val="20"/>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qFormat/>
    <w:uiPriority w:val="99"/>
    <w:rPr>
      <w:color w:val="0000FF"/>
      <w:u w:val="single"/>
    </w:rPr>
  </w:style>
  <w:style w:type="paragraph" w:customStyle="1" w:styleId="6">
    <w:name w:val="正文段"/>
    <w:basedOn w:val="1"/>
    <w:qFormat/>
    <w:uiPriority w:val="99"/>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2021-04-19T08:30:00Z</dcterms:created>
  <dc:creator>吃西瓜不吐西瓜子</dc:creator>
  <cp:lastModifiedBy>Administrator</cp:lastModifiedBy>
  <dcterms:modified xsi:type="dcterms:W3CDTF">2021-04-25T01:51:25Z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4C53C5B6F8404BB98438C5BD5BE21873</vt:lpwstr>
  </property>
</Properties>
</file>