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48"/>
          <w:szCs w:val="48"/>
        </w:rPr>
      </w:pPr>
    </w:p>
    <w:p>
      <w:pPr>
        <w:rPr>
          <w:rFonts w:hint="eastAsia" w:ascii="仿宋" w:hAnsi="仿宋" w:eastAsia="仿宋" w:cs="仿宋"/>
          <w:sz w:val="48"/>
          <w:szCs w:val="48"/>
        </w:rPr>
      </w:pPr>
    </w:p>
    <w:p>
      <w:pPr>
        <w:rPr>
          <w:rFonts w:hint="eastAsia" w:ascii="仿宋" w:hAnsi="仿宋" w:eastAsia="仿宋" w:cs="仿宋"/>
          <w:sz w:val="48"/>
          <w:szCs w:val="48"/>
        </w:rPr>
      </w:pPr>
    </w:p>
    <w:p>
      <w:pPr>
        <w:rPr>
          <w:rFonts w:hint="eastAsia" w:ascii="仿宋" w:hAnsi="仿宋" w:eastAsia="仿宋" w:cs="仿宋"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全市及市级2017年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政府性基金预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算执行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及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2018年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政府性基金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预算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2018年3月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目    录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一、全市及市级2017年预算执行情况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二、全市及市级2018年预算安排情况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三、全市及市级2017年政府性基金预算执行收支情况表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四、全市及市级2018年政府性基金预算收支情况表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五、市级地方政府专项债务限额余额情况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六、2017年市级政府性基金专项转移支付执行及2018年预算安排情况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HTJ-PK74820002e1c" w:eastAsia="黑体" w:cs="HTJ-PK74820002e1c"/>
          <w:snapToGrid w:val="0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HTJ-PK74820002e1c" w:eastAsia="黑体" w:cs="HTJ-PK74820002e1c"/>
          <w:snapToGrid w:val="0"/>
          <w:color w:val="000000"/>
          <w:kern w:val="0"/>
          <w:sz w:val="32"/>
          <w:szCs w:val="32"/>
        </w:rPr>
        <w:t>一、</w:t>
      </w:r>
      <w:r>
        <w:rPr>
          <w:rFonts w:hint="eastAsia" w:ascii="黑体" w:hAnsi="E-BZ-PK748348" w:eastAsia="黑体" w:cs="E-BZ-PK748348"/>
          <w:snapToGrid w:val="0"/>
          <w:color w:val="000000"/>
          <w:kern w:val="0"/>
          <w:sz w:val="32"/>
          <w:szCs w:val="32"/>
        </w:rPr>
        <w:t>2017</w:t>
      </w:r>
      <w:r>
        <w:rPr>
          <w:rFonts w:hint="eastAsia" w:ascii="黑体" w:hAnsi="HTJ-PK74820002e1c" w:eastAsia="黑体" w:cs="HTJ-PK74820002e1c"/>
          <w:snapToGrid w:val="0"/>
          <w:color w:val="000000"/>
          <w:kern w:val="0"/>
          <w:sz w:val="32"/>
          <w:szCs w:val="32"/>
        </w:rPr>
        <w:t>年政府性基金预算执行情况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楷体_GB2312" w:hAnsi="KTJ-PK74820002e19" w:eastAsia="楷体_GB2312" w:cs="KTJ-PK74820002e19"/>
          <w:snapToGrid w:val="0"/>
          <w:color w:val="000000"/>
          <w:kern w:val="0"/>
          <w:sz w:val="32"/>
          <w:szCs w:val="32"/>
        </w:rPr>
        <w:t>（一）全市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E-BZ-PK74820002e1e" w:eastAsia="仿宋_GB2312" w:cs="E-BZ-PK74820002e1e"/>
          <w:b/>
          <w:snapToGrid w:val="0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FSJ-PK74820002e21" w:eastAsia="仿宋_GB2312" w:cs="FSJ-PK74820002e21"/>
          <w:b/>
          <w:snapToGrid w:val="0"/>
          <w:color w:val="000000"/>
          <w:kern w:val="0"/>
          <w:sz w:val="32"/>
          <w:szCs w:val="32"/>
        </w:rPr>
        <w:t>收入执行情况。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2017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年全市政府性基金预算收入为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381.48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亿元，完成年度预算的119.2%，增长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54.4%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。收入分项目完成情况如下：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）新型墙体材料专项基金收入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0.29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 175.2%，增长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  <w:lang w:val="en-US" w:eastAsia="zh-CN"/>
        </w:rPr>
        <w:t>102.7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）城市公用事业附加收入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0.57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亿元，完成年度预算的68.1%，下降61.6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。主要是根据上级有关文件规定，从2017年4月1起，取消城市公用事业附加收入项目。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）国有土地收益基金收入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13.69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亿元，完成年度预算的102.9%，增长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85.8%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  <w:lang w:eastAsia="zh-CN"/>
        </w:rPr>
        <w:t>主要是土地出让收入增加相应计提的国有土地收益基金增加。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农业土地开发资金收入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0.63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亿元，完成年度预算的60.7%，增长43.4%。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  <w:lang w:eastAsia="zh-CN"/>
        </w:rPr>
        <w:t>主要是土地出让收入增加相应计提的农业土地开发资金增加。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国有土地使用权出让收入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317.38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亿元，完成年度预算的117.9%，增长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57.6%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。主要是土地出让形势好转，土地出让收入增加。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（6）彩票公益金收入2.32亿元，完成年度预算的107.2%，增长43.2%。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（7）城市基础设施配套费收入3.22亿元，完成年度预算的154.2%，增长113.8%。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lang w:eastAsia="zh-CN"/>
        </w:rPr>
        <w:t>主要是建设开工项目同比增加。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（8）车辆通行费5.86亿元，完成年度预算的100.1%，增长21.0%。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（9）污水处理费收入7.93亿元，完成年度预算的93.7%，增长418.8%。主要是扩大实施污水处理费纳入政府性基金管理。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（10）彩票发行机构和彩票销售机构的业务费用0.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  <w:lang w:val="en-US" w:eastAsia="zh-CN"/>
        </w:rPr>
        <w:t>139.3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%，增长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  <w:lang w:val="en-US" w:eastAsia="zh-CN"/>
        </w:rPr>
        <w:t>40.5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11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）其他政府性基金收入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29.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  <w:lang w:val="en-US" w:eastAsia="zh-CN"/>
        </w:rPr>
        <w:t>09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亿元，完成年度预算的177.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%，增长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10.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 xml:space="preserve">。 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E-BZ-PK74820002e1e" w:eastAsia="仿宋_GB2312" w:cs="E-BZ-PK74820002e1e"/>
          <w:b/>
          <w:snapToGrid w:val="0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FSJ-PK74820002e21" w:eastAsia="仿宋_GB2312" w:cs="FSJ-PK74820002e21"/>
          <w:b/>
          <w:snapToGrid w:val="0"/>
          <w:color w:val="000000"/>
          <w:kern w:val="0"/>
          <w:sz w:val="32"/>
          <w:szCs w:val="32"/>
        </w:rPr>
        <w:t>支出执行情况。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2017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年全市政府性基金预算支出为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412.77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114.7%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75.5%。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支出分项目完成情况如下：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）社会保障和就业基金支出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1.01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128.5%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增长10.0%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。主要是水库移民后期扶持基金省补资金增加。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）城乡社区基金支出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339.69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113.2%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72.7%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。主要是安排新增地方政府债券、国有土地使用权出让收入及污水处理费收入安排的支出增加。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）农林水基金支出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0.03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503.0%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，增长19.4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。主要是水库库区省补资金增加。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）交通运输基金支出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30.84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100.0%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，增长548.6%。主要是安排新增地方政府债券支出增加。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）资源勘探信息等基金支出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0.10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94.4%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，下降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  <w:lang w:val="en-US" w:eastAsia="zh-CN"/>
        </w:rPr>
        <w:t>46.9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）其他基金支出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32.09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168.2%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11.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（7）债务付息及发行费支出9.01亿元，完成年度预算的98.7%，增长132.0%。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楷体_GB2312" w:hAnsi="KTJ-PK74820002e19" w:eastAsia="楷体_GB2312" w:cs="KTJ-PK74820002e19"/>
          <w:snapToGrid w:val="0"/>
          <w:color w:val="000000"/>
          <w:kern w:val="0"/>
          <w:sz w:val="32"/>
          <w:szCs w:val="32"/>
        </w:rPr>
        <w:t>（二）市级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E-BZ-PK74820002e1e" w:eastAsia="仿宋_GB2312" w:cs="E-BZ-PK74820002e1e"/>
          <w:b/>
          <w:snapToGrid w:val="0"/>
          <w:color w:val="000000"/>
          <w:kern w:val="0"/>
          <w:sz w:val="32"/>
          <w:szCs w:val="32"/>
        </w:rPr>
        <w:t>1．</w:t>
      </w:r>
      <w:r>
        <w:rPr>
          <w:rFonts w:hint="eastAsia" w:ascii="仿宋_GB2312" w:hAnsi="FSJ-PK74820002e21" w:eastAsia="仿宋_GB2312" w:cs="FSJ-PK74820002e21"/>
          <w:b/>
          <w:snapToGrid w:val="0"/>
          <w:color w:val="000000"/>
          <w:kern w:val="0"/>
          <w:sz w:val="32"/>
          <w:szCs w:val="32"/>
        </w:rPr>
        <w:t>收入执行情况。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2017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年市级政府性基金预算收入为117.96亿元，完成年度预算的121.9%，增长66.2%。收入分项目完成情况如下：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）新型墙体材料专项基金收入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0.14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亿元，完成年度预算的254.5%，增长173.5%。主要是加强对历年未结算资金的清理。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（2）城市公用事业附加收入0.13亿元，完成年度预算的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98.4%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，下降54.5%。主要是根据上级有关文件规定，从2017年4月1日起，取消城市公用事业附加收入项目。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（3）国有土地收益基金6.04亿元，完成年度预算的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120.8%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，增长53.8% 。主要是土地出让收入增加计提基金收入增加。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）农业土地开发资金收入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0.17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112.3%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，增长71.8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（5）国有土地使用权出让金收入100.72亿元，完成年度预算的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122.7%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，增长73.8%。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）彩票公益金收入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1.61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115.1%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，增长72.4%。主要是福彩公益金跨年度缴库一次性因素。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）城市基础设施配套费收入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0.27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182.2%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，增长199.2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）车辆通行费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5.86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100.1%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，增长21.0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。主要是嘉绍大桥车流量增长而增加收入。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）彩票发行机构和彩票销售机构的业务费用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0.40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129.9%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，增长43.2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。主要是彩票销量增长。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10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）其他政府性基金收入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2.62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160.6%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，增长5.1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市级政府性基金预算收入117.96亿元，加上转移性收入</w:t>
      </w:r>
    </w:p>
    <w:p>
      <w:pPr>
        <w:adjustRightInd w:val="0"/>
        <w:snapToGrid w:val="0"/>
        <w:spacing w:line="560" w:lineRule="exact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27.54亿元（其中：地方政府债务转贷收入25.66亿元、地方调入资金1.88 亿元），收入合计145.50亿元。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E-BZ-PK74820002e1e" w:eastAsia="仿宋_GB2312" w:cs="E-BZ-PK74820002e1e"/>
          <w:b/>
          <w:snapToGrid w:val="0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FSJ-PK74820002e21" w:eastAsia="仿宋_GB2312" w:cs="FSJ-PK74820002e21"/>
          <w:b/>
          <w:snapToGrid w:val="0"/>
          <w:color w:val="000000"/>
          <w:kern w:val="0"/>
          <w:sz w:val="32"/>
          <w:szCs w:val="32"/>
        </w:rPr>
        <w:t>支出执行情况。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2017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年市级政府性基金预算支出为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77.66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109.1%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，增长29.1%。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）社会保障和就业基金支出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0.02亿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66.0%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，下降35.9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。主要是省补资金减少。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）城乡社区基金支出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52.76亿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115.1%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4.4%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。主要是国有收益基金安排的支出增加。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）交通运输基金支出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20.84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100.0%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，增长338.3%。主要是安排新增地方政府债券支出因素，剔除该因素，同比增长22.8%。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）资源勘探信息等基金支出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0.03亿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元，完成年度预算的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91.4%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，下降19.0%。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）其他基金支出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2.19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亿元，完成年度预算86.1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，下降33.8%。主要是根据上级文件规定，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从2017年1月1日起，考试考务费、检验检测费、其他水资源费收入、证件工本费非税收入由政府性基金预算转列一般公共预算。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（6）债务付息及发行费支出1.82亿元，完成年度预算的96.5%，增长23.8%。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市级政府性基金预算支出77.66亿元，加上转移性支出66.02亿元（其中：补助下级支出47.14亿元、结转下年支出13.22 亿元、债务还本支出5.66亿元），支出合计143.68亿元。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收支相抵，市级政府性基金预算收支平衡。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HTJ-PK74820002e1c" w:eastAsia="黑体" w:cs="HTJ-PK74820002e1c"/>
          <w:snapToGrid w:val="0"/>
          <w:color w:val="000000"/>
          <w:kern w:val="0"/>
          <w:sz w:val="32"/>
          <w:szCs w:val="32"/>
        </w:rPr>
        <w:t>二、</w:t>
      </w:r>
      <w:r>
        <w:rPr>
          <w:rFonts w:hint="eastAsia" w:ascii="黑体" w:hAnsi="E-BZ-PK748348" w:eastAsia="黑体" w:cs="E-BZ-PK748348"/>
          <w:snapToGrid w:val="0"/>
          <w:color w:val="000000"/>
          <w:kern w:val="0"/>
          <w:sz w:val="32"/>
          <w:szCs w:val="32"/>
        </w:rPr>
        <w:t>2018</w:t>
      </w:r>
      <w:r>
        <w:rPr>
          <w:rFonts w:hint="eastAsia" w:ascii="黑体" w:hAnsi="HTJ-PK74820002e1c" w:eastAsia="黑体" w:cs="HTJ-PK74820002e1c"/>
          <w:snapToGrid w:val="0"/>
          <w:color w:val="000000"/>
          <w:kern w:val="0"/>
          <w:sz w:val="32"/>
          <w:szCs w:val="32"/>
        </w:rPr>
        <w:t>年政府性基金预算（草案）安排情况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楷体_GB2312" w:hAnsi="KTJ-PK74820002e19" w:eastAsia="楷体_GB2312" w:cs="KTJ-PK74820002e19"/>
          <w:snapToGrid w:val="0"/>
          <w:color w:val="000000"/>
          <w:kern w:val="0"/>
          <w:sz w:val="32"/>
          <w:szCs w:val="32"/>
        </w:rPr>
        <w:t>（一）全市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E-BZ-PK74820002e1e" w:eastAsia="仿宋_GB2312" w:cs="E-BZ-PK74820002e1e"/>
          <w:b/>
          <w:snapToGrid w:val="0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FSJ-PK74820002e21" w:eastAsia="仿宋_GB2312" w:cs="FSJ-PK74820002e21"/>
          <w:b/>
          <w:snapToGrid w:val="0"/>
          <w:color w:val="000000"/>
          <w:kern w:val="0"/>
          <w:sz w:val="32"/>
          <w:szCs w:val="32"/>
        </w:rPr>
        <w:t>收入预算。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年全市政府性基金预算收入预期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416.84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亿元，增长9.3%。收入分项目情况如下：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）国有土地使用权出让收356.80亿元，增长12.4%。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）国有土地收益基金收入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14.23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 xml:space="preserve">亿元，增长3.9%。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）农业土地开发资金收入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0.66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亿元，增长4.3%。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）彩票公益金收入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2.17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亿元，下降6.3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）城市基础设施配套费收入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3.09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亿元，下降3.9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）车辆通行费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6.16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亿元，增长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5.2%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）污水处理费收入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4.77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亿元，下降39.8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10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）彩票发行机构和彩票销售机构的业务费用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0.34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  <w:lang w:val="en-US" w:eastAsia="zh-CN"/>
        </w:rPr>
        <w:t>32.5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（11）其他政府性基金收入28.61亿元，下降1.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%。主要是部分政府性基金转列一般公共预算等因素。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E-BZ-PK74820002e1e" w:eastAsia="仿宋_GB2312" w:cs="E-BZ-PK74820002e1e"/>
          <w:b/>
          <w:snapToGrid w:val="0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FSJ-PK74820002e21" w:eastAsia="仿宋_GB2312" w:cs="FSJ-PK74820002e21"/>
          <w:b/>
          <w:snapToGrid w:val="0"/>
          <w:color w:val="000000"/>
          <w:kern w:val="0"/>
          <w:sz w:val="32"/>
          <w:szCs w:val="32"/>
        </w:rPr>
        <w:t>支出预</w:t>
      </w:r>
      <w:r>
        <w:rPr>
          <w:rFonts w:hint="eastAsia" w:ascii="仿宋_GB2312" w:hAnsi="FSJ-PK74820002e21" w:eastAsia="仿宋_GB2312" w:cs="FSJ-PK74820002e21"/>
          <w:b/>
          <w:snapToGrid w:val="0"/>
          <w:color w:val="000000"/>
          <w:kern w:val="0"/>
          <w:sz w:val="32"/>
          <w:szCs w:val="32"/>
          <w:lang w:eastAsia="zh-CN"/>
        </w:rPr>
        <w:t>算</w:t>
      </w:r>
      <w:r>
        <w:rPr>
          <w:rFonts w:hint="eastAsia" w:ascii="仿宋_GB2312" w:hAnsi="FSJ-PK74820002e21" w:eastAsia="仿宋_GB2312" w:cs="FSJ-PK74820002e21"/>
          <w:b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年全市政府性基金拟安排支出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428.48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亿元，增长3.8%，剔除上年新增地方政府债券支出因素，同比增长18.4%。支出分项目安排情况如下：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）社会保障和就业支出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0.70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亿元，同比下降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30.5%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）城乡社区基金支出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376.54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亿元，增长10.8%，剔除上年新增地方政府债券支出因素，同比增长20.0%。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（3）农林水基金支出0.02亿元，同比下降47.3%。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）交通运输基金支出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6.16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亿元，下降80.0%，剔除上年新增地方政府债券支出因素，同比增长5.5%。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（5）其他基金支出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32.14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亿元，同比增长0.2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）债务付息及发行费支出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12.92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亿元，同比增长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43.5%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楷体_GB2312" w:hAnsi="KTJ-PK74820002e19" w:eastAsia="楷体_GB2312" w:cs="KTJ-PK74820002e19"/>
          <w:snapToGrid w:val="0"/>
          <w:color w:val="000000"/>
          <w:kern w:val="0"/>
          <w:sz w:val="32"/>
          <w:szCs w:val="32"/>
        </w:rPr>
        <w:t>（二）市级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E-BZ-PK74820002e1e" w:eastAsia="仿宋_GB2312" w:cs="E-BZ-PK74820002e1e"/>
          <w:b/>
          <w:snapToGrid w:val="0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FSJ-PK74820002e21" w:eastAsia="仿宋_GB2312" w:cs="FSJ-PK74820002e21"/>
          <w:b/>
          <w:snapToGrid w:val="0"/>
          <w:color w:val="000000"/>
          <w:kern w:val="0"/>
          <w:sz w:val="32"/>
          <w:szCs w:val="32"/>
        </w:rPr>
        <w:t>收入预算。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年市级政府性基金预算收入预期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138.92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亿元，增长17.8%。收入分项目情况如下：</w:t>
      </w:r>
    </w:p>
    <w:p>
      <w:pPr>
        <w:adjustRightInd w:val="0"/>
        <w:snapToGrid w:val="0"/>
        <w:spacing w:line="560" w:lineRule="exact"/>
        <w:ind w:left="638" w:leftChars="304" w:firstLine="0" w:firstLineChars="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）国有土地使用权出让收入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124.94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亿元，增长24.0%。（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）国有土地收益基金收入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5.03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 xml:space="preserve">亿元，下降16.6%。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）农业土地开发资金收入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0.17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亿元，下降4.4%。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）彩票公益金收入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1.38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亿元，下降14.4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）城市基础设施配套费收入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0.05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亿元，下降81.5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）车辆通行费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6.16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亿元，增长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5.2%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）彩票发行机构和彩票销售机构的业务费用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0.29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亿元，下降28.5%。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）其他政府性基金收入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0.90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65.6%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。主要是部分政府性基金转列一般公共预算收入。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市级政府性基金预算收入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138.92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亿元，加上转移性收入11.16亿元（其中：调入资金5.02亿元、地方政府专项债务收入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2.93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亿元、使用结转资金3.21亿元），收入合计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150.08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E-BZ-PK74820002e1e" w:eastAsia="仿宋_GB2312" w:cs="E-BZ-PK74820002e1e"/>
          <w:b/>
          <w:snapToGrid w:val="0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FSJ-PK74820002e21" w:eastAsia="仿宋_GB2312" w:cs="FSJ-PK74820002e21"/>
          <w:b/>
          <w:snapToGrid w:val="0"/>
          <w:color w:val="000000"/>
          <w:kern w:val="0"/>
          <w:sz w:val="32"/>
          <w:szCs w:val="32"/>
        </w:rPr>
        <w:t>支出预算。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年市级政府性基金</w:t>
      </w:r>
      <w:r>
        <w:rPr>
          <w:rFonts w:hint="eastAsia" w:ascii="仿宋_GB2312" w:hAnsi="FSJ-PK74820002e21" w:eastAsia="仿宋_GB2312" w:cs="FSJ-PK74820002e21"/>
          <w:snapToGrid w:val="0"/>
          <w:color w:val="000000"/>
          <w:kern w:val="0"/>
          <w:sz w:val="32"/>
          <w:szCs w:val="32"/>
        </w:rPr>
        <w:t>支出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拟安排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73.65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下降5.2%，剔除上年新增地方政府债券支出因素，同比增长27.7%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。支出分项目安排情况如下：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社会保障和就业基金支出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0.03亿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元，同比增长48.4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（2）城乡社区支出62.72亿元，增长18.9%。主要是土地出让收入预计增加相应安排支出增加。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（3）交通运输基金支出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6.16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亿元，下降70.4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%，同比增长5.5%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上年有新增地方政府债券支出因素。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</w:rPr>
        <w:t>（4）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其他基金支出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1.98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亿元，下降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9.5%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。主要是部分政府性基金转列一般公共预算安排支出。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（5）债务付息及发行费支出2.76亿元，同比增长51.5%。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市级政府性基金预算支出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73.65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亿元，加上转移性支出73.98亿元（其中：补助下级支出71.05亿元、债务还本支出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2.93</w:t>
      </w:r>
      <w:r>
        <w:rPr>
          <w:rFonts w:hint="eastAsia" w:ascii="仿宋_GB2312" w:hAnsi="FSJ-PK74820002e20" w:eastAsia="仿宋_GB2312" w:cs="FSJ-PK74820002e20"/>
          <w:snapToGrid w:val="0"/>
          <w:color w:val="000000"/>
          <w:kern w:val="0"/>
          <w:sz w:val="32"/>
          <w:szCs w:val="32"/>
        </w:rPr>
        <w:t>亿元），支出合计</w:t>
      </w: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147.63亿元。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E-BZ-PK748348" w:eastAsia="仿宋_GB2312" w:cs="E-BZ-PK748348"/>
          <w:snapToGrid w:val="0"/>
          <w:color w:val="000000"/>
          <w:kern w:val="0"/>
          <w:sz w:val="32"/>
          <w:szCs w:val="32"/>
        </w:rPr>
        <w:t>收支相抵，市级政府性基金预算收支平衡。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仿宋_GB2312"/>
          <w:spacing w:val="-1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仿宋_GB2312"/>
          <w:spacing w:val="-10"/>
          <w:kern w:val="0"/>
          <w:sz w:val="36"/>
          <w:szCs w:val="36"/>
        </w:rPr>
        <w:t>绍兴市2017年政府性基金预算收入执行情况表</w:t>
      </w:r>
    </w:p>
    <w:p>
      <w:pPr>
        <w:spacing w:line="580" w:lineRule="exact"/>
        <w:jc w:val="right"/>
        <w:rPr>
          <w:rFonts w:hint="eastAsia" w:ascii="Times New Roman" w:hAnsi="Times New Roman" w:eastAsia="黑体" w:cs="仿宋_GB2312"/>
          <w:kern w:val="0"/>
          <w:sz w:val="24"/>
          <w:szCs w:val="24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</w:p>
    <w:p>
      <w:pPr>
        <w:spacing w:line="580" w:lineRule="exact"/>
        <w:jc w:val="right"/>
        <w:rPr>
          <w:rFonts w:ascii="Times New Roman" w:hAnsi="Times New Roman" w:eastAsia="黑体" w:cs="仿宋_GB2312"/>
          <w:kern w:val="0"/>
          <w:sz w:val="24"/>
          <w:szCs w:val="24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1118"/>
        <w:gridCol w:w="968"/>
        <w:gridCol w:w="987"/>
        <w:gridCol w:w="95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收入科目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年度预算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完成数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实绩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预算%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3199238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3814788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>247040</w:t>
            </w:r>
            <w:r>
              <w:rPr>
                <w:rFonts w:hint="eastAsia"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119.2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>54.4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一、散装水泥专项资金收入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775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二、新型墙体材料专项基金收入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1647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2886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1424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175.2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102.7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三、城市公用事业附加收入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8351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5687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14796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68.1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-61.6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四、国有土地收益基金收入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133072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136930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73704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102.9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85.8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五、农业土地开发资金收入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10450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6340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4421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60.7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六、国有土地使用权出让金收入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2692163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3173817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2014109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117.9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57.6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七、彩票公益金收入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21615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23164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16175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107.2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八、城市基础设施配套费收入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20862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32176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15050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154.2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113.8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九、车辆通行费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58500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58567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48401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100.1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十、污水处理费收入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84600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79291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15283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93.7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418.8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十一、彩票发行机构和彩票销售机构的业务费用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3630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5057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3611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139.3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40.5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1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十二、其他政府性基金收入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164348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290874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26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2658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177.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10.7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</w:p>
    <w:p>
      <w:pPr>
        <w:spacing w:line="580" w:lineRule="exact"/>
        <w:jc w:val="center"/>
        <w:rPr>
          <w:rFonts w:ascii="Times New Roman" w:hAnsi="Times New Roman" w:eastAsia="黑体" w:cs="仿宋_GB2312"/>
          <w:kern w:val="0"/>
          <w:szCs w:val="32"/>
        </w:rPr>
      </w:pPr>
      <w:r>
        <w:rPr>
          <w:rFonts w:hint="eastAsia" w:ascii="方正小标宋简体" w:hAnsi="Times New Roman" w:eastAsia="方正小标宋简体" w:cs="仿宋_GB2312"/>
          <w:spacing w:val="-10"/>
          <w:kern w:val="0"/>
          <w:sz w:val="36"/>
          <w:szCs w:val="36"/>
        </w:rPr>
        <w:t>绍兴市2017年政府性基金预算支出执行情况表</w:t>
      </w:r>
    </w:p>
    <w:p>
      <w:pPr>
        <w:spacing w:line="580" w:lineRule="exact"/>
        <w:jc w:val="right"/>
        <w:rPr>
          <w:rFonts w:ascii="Times New Roman" w:hAnsi="Times New Roman" w:eastAsia="黑体" w:cs="仿宋_GB2312"/>
          <w:kern w:val="0"/>
          <w:sz w:val="24"/>
          <w:szCs w:val="24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1"/>
        <w:gridCol w:w="996"/>
        <w:gridCol w:w="1173"/>
        <w:gridCol w:w="1018"/>
        <w:gridCol w:w="959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支出科目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预算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完成数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实绩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完成预算%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3599335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4127676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2351314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114.7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75.5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一、社会保障和就业支出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7821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10053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9141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128.5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大中型水库移民后期扶持基金支出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6673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8445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8400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126.6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小型水库移民后期扶持基金支出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1148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1608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741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140.1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二、城乡社区支出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2999877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3396907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1966498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113.2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72.7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国有土地使用权出让收入及对应专项债务收入安排的支出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2742215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3156489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1871270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115.1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68.7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城市公用事业附加及对应专项债务收入安排的支出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15424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8101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13256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52.5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-38.9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国有土地收益基金及对应专项债务收入安排支出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129572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130751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51784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100.9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152.5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农业土地开发资金及对应专项债务收入安排的支出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10888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4738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3798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43.5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24.7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城市基础设施配套费及对应专项债务收入安排的支出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17178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18376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9675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107.0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89.9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污水处理费及对应专项债务收入安排的支出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84600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78452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16715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92.7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369.4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三、农林水支出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66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332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278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503.0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大中型水库库区基金及对应专项债务收入安排的支出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66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332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278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503.0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四、交通运输支出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308500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308409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47548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100.0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548.6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车辆通行费及对应专项债务收入安排的支出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308500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308409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47548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100.0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548.6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五、资源勘探电力信息等支出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1077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1017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1915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94.4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46.9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散装水泥专项资金及对应专项债务收入安排的支出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334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新型墙体材料专项基金及对应专项债务收入安排的支出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1077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1017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15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81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94.4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-3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5.7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六、其他支出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190764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320904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287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124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168.2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11.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其他政府性基金及对应专项债务收入安排的支出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165561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292390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264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582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176.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6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10.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彩票发行销售机构业务费安排的支出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3670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3495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3706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95.2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-5.7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彩票公益金及对应专项债务收入安排的支出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21533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25019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18836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6.2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2.8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七、债务付息及发行费支出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91230 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90054 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38810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98.7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132.0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宋体" w:cs="宋体"/>
          <w:kern w:val="0"/>
          <w:szCs w:val="32"/>
        </w:rPr>
      </w:pPr>
      <w:r>
        <w:rPr>
          <w:rFonts w:ascii="Times New Roman" w:hAnsi="Times New Roman" w:eastAsia="宋体" w:cs="宋体"/>
          <w:kern w:val="0"/>
          <w:sz w:val="24"/>
          <w:szCs w:val="24"/>
        </w:rPr>
        <w:br w:type="page"/>
      </w:r>
    </w:p>
    <w:p>
      <w:pPr>
        <w:widowControl/>
        <w:spacing w:line="560" w:lineRule="exact"/>
        <w:jc w:val="center"/>
        <w:rPr>
          <w:rFonts w:hint="eastAsia" w:ascii="方正小标宋简体" w:hAnsi="Times New Roman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宋体"/>
          <w:kern w:val="0"/>
          <w:sz w:val="36"/>
          <w:szCs w:val="36"/>
        </w:rPr>
        <w:t>绍兴市区2017年政府性基金预算收入执行情况表</w:t>
      </w:r>
    </w:p>
    <w:p>
      <w:pPr>
        <w:widowControl/>
        <w:spacing w:line="560" w:lineRule="exact"/>
        <w:jc w:val="left"/>
        <w:rPr>
          <w:rFonts w:ascii="Times New Roman" w:hAnsi="Times New Roman" w:eastAsia="宋体" w:cs="宋体"/>
          <w:kern w:val="0"/>
          <w:szCs w:val="32"/>
        </w:rPr>
      </w:pPr>
      <w:r>
        <w:rPr>
          <w:rFonts w:ascii="Times New Roman" w:hAnsi="Times New Roman" w:eastAsia="宋体" w:cs="宋体"/>
          <w:kern w:val="0"/>
          <w:szCs w:val="32"/>
        </w:rPr>
        <w:tab/>
      </w:r>
      <w:r>
        <w:rPr>
          <w:rFonts w:ascii="Times New Roman" w:hAnsi="Times New Roman" w:eastAsia="宋体" w:cs="宋体"/>
          <w:kern w:val="0"/>
          <w:szCs w:val="32"/>
        </w:rPr>
        <w:tab/>
      </w:r>
      <w:r>
        <w:rPr>
          <w:rFonts w:ascii="Times New Roman" w:hAnsi="Times New Roman" w:eastAsia="宋体" w:cs="宋体"/>
          <w:kern w:val="0"/>
          <w:szCs w:val="32"/>
        </w:rPr>
        <w:tab/>
      </w:r>
      <w:r>
        <w:rPr>
          <w:rFonts w:ascii="Times New Roman" w:hAnsi="Times New Roman" w:eastAsia="宋体" w:cs="宋体"/>
          <w:kern w:val="0"/>
          <w:szCs w:val="32"/>
        </w:rPr>
        <w:tab/>
      </w:r>
      <w:r>
        <w:rPr>
          <w:rFonts w:ascii="Times New Roman" w:hAnsi="Times New Roman" w:eastAsia="宋体" w:cs="宋体"/>
          <w:kern w:val="0"/>
          <w:szCs w:val="32"/>
        </w:rPr>
        <w:tab/>
      </w:r>
    </w:p>
    <w:p>
      <w:pPr>
        <w:widowControl/>
        <w:spacing w:line="560" w:lineRule="exact"/>
        <w:jc w:val="righ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ab/>
      </w:r>
      <w:r>
        <w:rPr>
          <w:rFonts w:hint="eastAsia" w:ascii="黑体" w:hAnsi="黑体" w:eastAsia="黑体" w:cs="宋体"/>
          <w:kern w:val="0"/>
          <w:sz w:val="24"/>
          <w:szCs w:val="24"/>
        </w:rPr>
        <w:tab/>
      </w:r>
      <w:r>
        <w:rPr>
          <w:rFonts w:hint="eastAsia" w:ascii="黑体" w:hAnsi="黑体" w:eastAsia="黑体" w:cs="宋体"/>
          <w:kern w:val="0"/>
          <w:sz w:val="24"/>
          <w:szCs w:val="24"/>
        </w:rPr>
        <w:tab/>
      </w:r>
      <w:r>
        <w:rPr>
          <w:rFonts w:hint="eastAsia" w:ascii="黑体" w:hAnsi="黑体" w:eastAsia="黑体" w:cs="宋体"/>
          <w:kern w:val="0"/>
          <w:sz w:val="24"/>
          <w:szCs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1"/>
        <w:gridCol w:w="1104"/>
        <w:gridCol w:w="1084"/>
        <w:gridCol w:w="986"/>
        <w:gridCol w:w="96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收入科目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年度预算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完成数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实绩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完成预算%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1896645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2337675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>108033</w:t>
            </w:r>
            <w:r>
              <w:rPr>
                <w:rFonts w:hint="eastAsia"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123.3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>116.4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一、散装水泥专项资金收入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512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二、新型墙体材料专项基金收入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1170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2220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873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189.7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154.3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三、城市公用事业附加收入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4772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3859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10528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80.9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-63.3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四、国有土地收益基金收入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80000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97730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49933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122.2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五、农业土地开发资金收入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6870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3907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2499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56.9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56.3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六、国有土地使用权出让金收入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1560248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1860102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817598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119.2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七、彩票公益金收入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17693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19448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12228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109.9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八、城市基础设施配套费收入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16492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24223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7988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146.9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九、车辆通行费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58500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58567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48401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100.1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十、污水处理费收入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66000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59022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89.4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十一、彩票发行机构和彩票销售机构的业务费用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3100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4482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3135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114.6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43.0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十二、其他政府性基金收入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81800 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204115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126639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249.5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61.2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spacing w:line="540" w:lineRule="exact"/>
        <w:rPr>
          <w:rFonts w:ascii="Times New Roman" w:hAnsi="Times New Roman" w:eastAsia="黑体" w:cs="仿宋_GB2312"/>
          <w:kern w:val="0"/>
          <w:szCs w:val="32"/>
        </w:rPr>
      </w:pP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hint="eastAsia" w:ascii="Times New Roman" w:hAnsi="Times New Roman" w:eastAsia="黑体" w:cs="仿宋_GB2312"/>
          <w:kern w:val="0"/>
          <w:szCs w:val="32"/>
        </w:rPr>
        <w:br w:type="page"/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  <w:t>绍兴市区2017年政府性基金预算支出执行情况表</w:t>
      </w:r>
    </w:p>
    <w:p>
      <w:pPr>
        <w:spacing w:line="24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</w:p>
    <w:p>
      <w:pPr>
        <w:spacing w:line="580" w:lineRule="exact"/>
        <w:jc w:val="right"/>
        <w:rPr>
          <w:rFonts w:ascii="Times New Roman" w:hAnsi="Times New Roman" w:eastAsia="黑体" w:cs="仿宋_GB2312"/>
          <w:kern w:val="0"/>
          <w:sz w:val="24"/>
          <w:szCs w:val="24"/>
          <w:lang w:bidi="ar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5"/>
        <w:gridCol w:w="1050"/>
        <w:gridCol w:w="993"/>
        <w:gridCol w:w="854"/>
        <w:gridCol w:w="854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支出科目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年度预算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实绩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预算%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1969671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2278232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970171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115.7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134.8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一、社会保障和就业支出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2294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2148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2220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93.6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大中型水库移民后期扶持基金支出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2001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2001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2067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100.0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小型水库移民后期扶持基金支出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293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147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153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50.2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二、城乡社区支出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1592036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1799983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747738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113.1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140.7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国有土地使用权出让收入及对应专项债务收入安排的支出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1414840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1618538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717378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114.4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125.6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城市公用事业附加及对应专项债务收入安排的支出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11550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6045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9030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52.3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国有土地收益基金及对应专项债务收入安排支出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79500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101456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13095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127.6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674.8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农业土地开发资金及对应专项债务收入安排的支出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7238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2667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1205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36.8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121.3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城市基础设施配套费及对应专项债务收入安排的支出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12908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12255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7030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94.9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74.3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污水处理费及对应专项债务收入安排的支出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66000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59022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89.4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三、农林水支出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80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大中型水库库区基金及对应专项债务收入安排的支出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80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四、交通运输支出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208500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208409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47548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100.0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338.3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车辆通行费及对应专项债务收入安排的支出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208500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208409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47548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100.0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338.3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五、资源勘探电力信息等支出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420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394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468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93.8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-15.8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散装水泥专项资金及对应专项债务收入安排的支出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141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新型墙体材料专项基金及对应专项债务收入安排的支出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420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394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327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93.8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20.5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六、其他支出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103731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205046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143209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197.7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43.2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其他政府性基金及对应专项债务收入安排的支出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85763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186147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127949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217.0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45.5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彩票发行销售机构业务费安排的支出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3300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3106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3227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94.1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-3.7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彩票公益金及对应专项债务收入安排的支出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14668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15793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11983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107.7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31.8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七、债务付息及发行费支出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62690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62172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28962 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99.2 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114.7</w:t>
            </w:r>
          </w:p>
        </w:tc>
      </w:tr>
    </w:tbl>
    <w:p>
      <w:pPr>
        <w:spacing w:line="580" w:lineRule="exact"/>
        <w:rPr>
          <w:rFonts w:ascii="Times New Roman" w:hAnsi="Times New Roman" w:eastAsia="黑体"/>
          <w:kern w:val="0"/>
          <w:szCs w:val="32"/>
          <w:lang w:bidi="ar"/>
        </w:rPr>
      </w:pPr>
      <w:r>
        <w:rPr>
          <w:rFonts w:ascii="Times New Roman" w:hAnsi="Times New Roman" w:eastAsia="黑体"/>
          <w:kern w:val="0"/>
          <w:szCs w:val="32"/>
          <w:lang w:bidi="ar"/>
        </w:rPr>
        <w:br w:type="page"/>
      </w:r>
      <w:r>
        <w:rPr>
          <w:rFonts w:ascii="Times New Roman" w:hAnsi="Times New Roman" w:eastAsia="黑体"/>
          <w:kern w:val="0"/>
          <w:szCs w:val="32"/>
          <w:lang w:bidi="ar"/>
        </w:rPr>
        <w:tab/>
      </w:r>
      <w:r>
        <w:rPr>
          <w:rFonts w:ascii="Times New Roman" w:hAnsi="Times New Roman" w:eastAsia="黑体"/>
          <w:kern w:val="0"/>
          <w:szCs w:val="32"/>
          <w:lang w:bidi="ar"/>
        </w:rPr>
        <w:tab/>
      </w:r>
      <w:r>
        <w:rPr>
          <w:rFonts w:ascii="Times New Roman" w:hAnsi="Times New Roman" w:eastAsia="黑体"/>
          <w:kern w:val="0"/>
          <w:szCs w:val="32"/>
          <w:lang w:bidi="ar"/>
        </w:rPr>
        <w:tab/>
      </w:r>
      <w:r>
        <w:rPr>
          <w:rFonts w:ascii="Times New Roman" w:hAnsi="Times New Roman" w:eastAsia="黑体"/>
          <w:kern w:val="0"/>
          <w:szCs w:val="32"/>
          <w:lang w:bidi="ar"/>
        </w:rPr>
        <w:tab/>
      </w:r>
      <w:r>
        <w:rPr>
          <w:rFonts w:ascii="Times New Roman" w:hAnsi="Times New Roman" w:eastAsia="黑体"/>
          <w:kern w:val="0"/>
          <w:szCs w:val="32"/>
          <w:lang w:bidi="ar"/>
        </w:rPr>
        <w:tab/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  <w:lang w:bidi="ar"/>
        </w:rPr>
        <w:t>绍兴市级2017年政府性基金预算收入执行情况表</w:t>
      </w:r>
    </w:p>
    <w:p>
      <w:pPr>
        <w:spacing w:line="580" w:lineRule="exact"/>
        <w:rPr>
          <w:rFonts w:ascii="Times New Roman" w:hAnsi="Times New Roman" w:eastAsia="黑体"/>
          <w:kern w:val="0"/>
          <w:szCs w:val="32"/>
          <w:lang w:bidi="ar"/>
        </w:rPr>
      </w:pPr>
      <w:r>
        <w:rPr>
          <w:rFonts w:ascii="Times New Roman" w:hAnsi="Times New Roman" w:eastAsia="黑体"/>
          <w:kern w:val="0"/>
          <w:szCs w:val="32"/>
          <w:lang w:bidi="ar"/>
        </w:rPr>
        <w:tab/>
      </w:r>
      <w:r>
        <w:rPr>
          <w:rFonts w:ascii="Times New Roman" w:hAnsi="Times New Roman" w:eastAsia="黑体"/>
          <w:kern w:val="0"/>
          <w:szCs w:val="32"/>
          <w:lang w:bidi="ar"/>
        </w:rPr>
        <w:tab/>
      </w:r>
      <w:r>
        <w:rPr>
          <w:rFonts w:ascii="Times New Roman" w:hAnsi="Times New Roman" w:eastAsia="黑体"/>
          <w:kern w:val="0"/>
          <w:szCs w:val="32"/>
          <w:lang w:bidi="ar"/>
        </w:rPr>
        <w:tab/>
      </w:r>
      <w:r>
        <w:rPr>
          <w:rFonts w:ascii="Times New Roman" w:hAnsi="Times New Roman" w:eastAsia="黑体"/>
          <w:kern w:val="0"/>
          <w:szCs w:val="32"/>
          <w:lang w:bidi="ar"/>
        </w:rPr>
        <w:tab/>
      </w:r>
      <w:r>
        <w:rPr>
          <w:rFonts w:ascii="Times New Roman" w:hAnsi="Times New Roman" w:eastAsia="黑体"/>
          <w:kern w:val="0"/>
          <w:szCs w:val="32"/>
          <w:lang w:bidi="ar"/>
        </w:rPr>
        <w:tab/>
      </w:r>
    </w:p>
    <w:p>
      <w:pPr>
        <w:spacing w:line="580" w:lineRule="exact"/>
        <w:jc w:val="right"/>
        <w:rPr>
          <w:rFonts w:ascii="Times New Roman" w:hAnsi="Times New Roman" w:eastAsia="黑体"/>
          <w:kern w:val="0"/>
          <w:sz w:val="24"/>
          <w:szCs w:val="24"/>
          <w:lang w:bidi="ar"/>
        </w:rPr>
      </w:pPr>
      <w:r>
        <w:rPr>
          <w:rFonts w:hint="eastAsia" w:ascii="Times New Roman" w:hAnsi="Times New Roman" w:eastAsia="黑体"/>
          <w:kern w:val="0"/>
          <w:sz w:val="24"/>
          <w:szCs w:val="24"/>
          <w:lang w:bidi="ar"/>
        </w:rPr>
        <w:tab/>
      </w:r>
      <w:r>
        <w:rPr>
          <w:rFonts w:hint="eastAsia" w:ascii="Times New Roman" w:hAnsi="Times New Roman" w:eastAsia="黑体"/>
          <w:kern w:val="0"/>
          <w:sz w:val="24"/>
          <w:szCs w:val="24"/>
          <w:lang w:bidi="ar"/>
        </w:rPr>
        <w:tab/>
      </w:r>
      <w:r>
        <w:rPr>
          <w:rFonts w:hint="eastAsia" w:ascii="Times New Roman" w:hAnsi="Times New Roman" w:eastAsia="黑体"/>
          <w:kern w:val="0"/>
          <w:sz w:val="24"/>
          <w:szCs w:val="24"/>
          <w:lang w:bidi="ar"/>
        </w:rPr>
        <w:tab/>
      </w:r>
      <w:r>
        <w:rPr>
          <w:rFonts w:hint="eastAsia" w:ascii="Times New Roman" w:hAnsi="Times New Roman" w:eastAsia="黑体"/>
          <w:kern w:val="0"/>
          <w:sz w:val="24"/>
          <w:szCs w:val="24"/>
          <w:lang w:bidi="ar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1134"/>
        <w:gridCol w:w="1105"/>
        <w:gridCol w:w="980"/>
        <w:gridCol w:w="846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收入科目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预算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完成数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实绩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预算%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一、本级收入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967615 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1179608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709736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121.9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66.2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（一）散装水泥专项资金收入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（二）新型墙体材料专项基金收入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560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1425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521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254.5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173.5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（三）城市公用事业附加收入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1300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1279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2808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98.4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-54.5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（四）国有土地收益基金收入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50000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60381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39254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120.8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53.8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（五）农业土地开发资金收入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1570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1763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1026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112.3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71.8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（六）国有土地使用权出让金收入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820800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1007178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579563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122.7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73.8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（七）彩票公益金收入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14000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16114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9349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115.1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72.4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1、福利彩票公益金收入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7000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9219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5474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131.7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68.4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2、体育彩票公益金收入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7000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6896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3875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98.5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78.0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（八）城市基础设施配套费收入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1485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2705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904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182.2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199.2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（九）车辆通行费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58500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58567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48401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100.1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（十）彩票发行机构和彩票销售机构的业务费用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3100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4026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2812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129.9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（十一）其他政府性基金收入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16300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26170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24890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160.6 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二、转移性收入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274785 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275375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432958 </w:t>
            </w:r>
          </w:p>
        </w:tc>
        <w:tc>
          <w:tcPr>
            <w:tcW w:w="846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67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（一）地方政府债务转贷收入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255900 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256592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297705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（二）调入资金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18885 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18783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14729 </w:t>
            </w:r>
          </w:p>
        </w:tc>
        <w:tc>
          <w:tcPr>
            <w:tcW w:w="846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67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（三）使用结转资金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120524 </w:t>
            </w:r>
          </w:p>
        </w:tc>
        <w:tc>
          <w:tcPr>
            <w:tcW w:w="846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67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85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收入合计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1242400 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1454983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1142694 </w:t>
            </w:r>
          </w:p>
        </w:tc>
        <w:tc>
          <w:tcPr>
            <w:tcW w:w="846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867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580" w:lineRule="exact"/>
        <w:rPr>
          <w:rFonts w:hint="eastAsia" w:ascii="Times New Roman" w:hAnsi="Times New Roman" w:eastAsia="黑体" w:cs="仿宋_GB2312"/>
          <w:kern w:val="0"/>
          <w:szCs w:val="32"/>
        </w:rPr>
      </w:pPr>
      <w:r>
        <w:rPr>
          <w:rFonts w:hint="eastAsia" w:ascii="Times New Roman" w:hAnsi="Times New Roman" w:eastAsia="黑体" w:cs="仿宋_GB2312"/>
          <w:kern w:val="0"/>
          <w:szCs w:val="32"/>
        </w:rPr>
        <w:br w:type="page"/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  <w:t>绍兴市级2017年政府性基金预算支出执行情况表</w:t>
      </w:r>
    </w:p>
    <w:p>
      <w:pPr>
        <w:spacing w:line="24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</w:p>
    <w:p>
      <w:pPr>
        <w:spacing w:line="580" w:lineRule="exact"/>
        <w:jc w:val="right"/>
        <w:rPr>
          <w:rFonts w:ascii="Times New Roman" w:hAnsi="Times New Roman" w:eastAsia="黑体" w:cs="仿宋_GB2312"/>
          <w:kern w:val="0"/>
          <w:sz w:val="24"/>
          <w:szCs w:val="24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0"/>
        <w:gridCol w:w="972"/>
        <w:gridCol w:w="1092"/>
        <w:gridCol w:w="1007"/>
        <w:gridCol w:w="862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支出科目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预算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完成数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实绩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完成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预算%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一、本级支出</w:t>
            </w:r>
          </w:p>
        </w:tc>
        <w:tc>
          <w:tcPr>
            <w:tcW w:w="972" w:type="dxa"/>
            <w:noWrap w:val="0"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711767 </w:t>
            </w:r>
          </w:p>
        </w:tc>
        <w:tc>
          <w:tcPr>
            <w:tcW w:w="1092" w:type="dxa"/>
            <w:noWrap w:val="0"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776602 </w:t>
            </w:r>
          </w:p>
        </w:tc>
        <w:tc>
          <w:tcPr>
            <w:tcW w:w="1007" w:type="dxa"/>
            <w:noWrap w:val="0"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601336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109.1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29.1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（一）社会保障和就业支出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300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198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309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66.0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-35.9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大中型水库移民后期扶持基金支出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300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198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309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66.0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-35.9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（二）城乡社区支出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458372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527613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505349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115.1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国有土地使用权出让收入及对应专项债务收入安排的支出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428407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492332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503761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114.9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城市公用事业附加及对应专项债务收入安排的支出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2150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2119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2759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98.6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-23.2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国有土地收益基金及对应专项债务收入安排支出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24900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31252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-1425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125.5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-2293.1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农业土地开发资金及对应专项债务收入安排的支出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1815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796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43.9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城市基础设施配套费及对应专项债务收入安排的支出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1100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1114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254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101.3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338.6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（三）交通运输支出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208500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208409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47548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100.0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338.3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车辆通行费及对应专项债务收入安排的支出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208500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208409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47548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100.0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338.3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（四）资源勘探电力信息等支出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265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327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91.4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散装水泥专项资金及对应专项债务收入安排的支出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   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新型墙体材料专项基金及对应专项债务收入安排的支出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265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299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91.4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-11.4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（五）其他支出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25420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21884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33074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86.1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-33.8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其他政府性基金及对应专项债务收入安排的支出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12015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9338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22594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77.7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-58.7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彩票发行机构和彩票销售机构的业务费用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3300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2805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2961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85.0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-5.3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彩票公益金及对应专项债务收入安排的支出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10105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9741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7519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96.4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（六）债务付息及发行费支出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18885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18233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14729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96.5 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23.8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二、转移性支出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530633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660165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301535 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006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（一）补助下级支出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370108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471434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65 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（二）地方政府债务还本支出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55900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56592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297705 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1006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（三）结转下年支出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104625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132139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3765 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color w:val="FF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06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50" w:type="dxa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支出合计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1242400 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1436767 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 xml:space="preserve">902871 </w:t>
            </w:r>
          </w:p>
        </w:tc>
        <w:tc>
          <w:tcPr>
            <w:tcW w:w="862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color w:val="FF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06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580" w:lineRule="exact"/>
        <w:rPr>
          <w:rFonts w:hint="eastAsia" w:ascii="Times New Roman" w:hAnsi="Times New Roman" w:eastAsia="黑体" w:cs="仿宋_GB2312"/>
          <w:kern w:val="0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" w:cs="仿宋_GB2312"/>
          <w:kern w:val="0"/>
          <w:szCs w:val="32"/>
        </w:rPr>
      </w:pPr>
      <w:r>
        <w:rPr>
          <w:rFonts w:ascii="Times New Roman" w:hAnsi="Times New Roman" w:eastAsia="仿宋" w:cs="仿宋_GB2312"/>
          <w:kern w:val="0"/>
          <w:szCs w:val="32"/>
        </w:rPr>
        <w:tab/>
      </w:r>
      <w:r>
        <w:rPr>
          <w:rFonts w:ascii="Times New Roman" w:hAnsi="Times New Roman" w:eastAsia="仿宋" w:cs="仿宋_GB2312"/>
          <w:kern w:val="0"/>
          <w:szCs w:val="32"/>
        </w:rPr>
        <w:tab/>
      </w:r>
      <w:r>
        <w:rPr>
          <w:rFonts w:ascii="Times New Roman" w:hAnsi="Times New Roman" w:eastAsia="仿宋" w:cs="仿宋_GB2312"/>
          <w:kern w:val="0"/>
          <w:szCs w:val="32"/>
        </w:rPr>
        <w:tab/>
      </w:r>
    </w:p>
    <w:p>
      <w:pPr>
        <w:widowControl/>
        <w:spacing w:line="560" w:lineRule="exact"/>
        <w:jc w:val="center"/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  <w:t>绍兴市2018年政府性基金预算收入表（草案）</w:t>
      </w:r>
    </w:p>
    <w:p>
      <w:pPr>
        <w:widowControl/>
        <w:spacing w:line="560" w:lineRule="exact"/>
        <w:jc w:val="left"/>
        <w:rPr>
          <w:rFonts w:ascii="Times New Roman" w:hAnsi="Times New Roman" w:eastAsia="仿宋" w:cs="仿宋_GB2312"/>
          <w:kern w:val="0"/>
          <w:szCs w:val="32"/>
        </w:rPr>
      </w:pPr>
      <w:r>
        <w:rPr>
          <w:rFonts w:ascii="Times New Roman" w:hAnsi="Times New Roman" w:eastAsia="仿宋" w:cs="仿宋_GB2312"/>
          <w:kern w:val="0"/>
          <w:szCs w:val="32"/>
        </w:rPr>
        <w:tab/>
      </w:r>
      <w:r>
        <w:rPr>
          <w:rFonts w:ascii="Times New Roman" w:hAnsi="Times New Roman" w:eastAsia="仿宋" w:cs="仿宋_GB2312"/>
          <w:kern w:val="0"/>
          <w:szCs w:val="32"/>
        </w:rPr>
        <w:tab/>
      </w:r>
      <w:r>
        <w:rPr>
          <w:rFonts w:ascii="Times New Roman" w:hAnsi="Times New Roman" w:eastAsia="仿宋" w:cs="仿宋_GB2312"/>
          <w:kern w:val="0"/>
          <w:szCs w:val="32"/>
        </w:rPr>
        <w:tab/>
      </w:r>
    </w:p>
    <w:p>
      <w:pPr>
        <w:widowControl/>
        <w:spacing w:line="560" w:lineRule="exact"/>
        <w:jc w:val="right"/>
        <w:rPr>
          <w:rFonts w:ascii="黑体" w:hAnsi="黑体" w:eastAsia="黑体" w:cs="仿宋_GB2312"/>
          <w:kern w:val="0"/>
          <w:sz w:val="24"/>
          <w:szCs w:val="24"/>
        </w:rPr>
      </w:pPr>
      <w:r>
        <w:rPr>
          <w:rFonts w:hint="eastAsia" w:ascii="黑体" w:hAnsi="黑体" w:eastAsia="黑体" w:cs="仿宋_GB2312"/>
          <w:kern w:val="0"/>
          <w:sz w:val="24"/>
          <w:szCs w:val="24"/>
        </w:rPr>
        <w:tab/>
      </w:r>
      <w:r>
        <w:rPr>
          <w:rFonts w:hint="eastAsia" w:ascii="黑体" w:hAnsi="黑体" w:eastAsia="黑体" w:cs="仿宋_GB2312"/>
          <w:kern w:val="0"/>
          <w:sz w:val="24"/>
          <w:szCs w:val="24"/>
        </w:rPr>
        <w:tab/>
      </w:r>
      <w:r>
        <w:rPr>
          <w:rFonts w:hint="eastAsia" w:ascii="黑体" w:hAnsi="黑体" w:eastAsia="黑体" w:cs="仿宋_GB2312"/>
          <w:kern w:val="0"/>
          <w:sz w:val="24"/>
          <w:szCs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1347"/>
        <w:gridCol w:w="152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收入科目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2018年预算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上年实绩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1"/>
              </w:rPr>
              <w:t>合   计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sz w:val="21"/>
                <w:szCs w:val="21"/>
              </w:rPr>
              <w:t xml:space="preserve">4168406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sz w:val="21"/>
                <w:szCs w:val="21"/>
              </w:rPr>
              <w:t xml:space="preserve">3814788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sz w:val="21"/>
                <w:szCs w:val="21"/>
              </w:rPr>
              <w:t xml:space="preserve">9.3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一、新型墙体材料专项基金收入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2886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二、城市公用事业附加收入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5687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三、国有土地收益基金收入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142325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136930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四、农业土地开发资金收入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6611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6340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4.3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五、国有土地使用权出让金收入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3568047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3173817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12.4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六、彩票公益金收入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21697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23164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-6.3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七、城市基础设施配套费收入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30921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32176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-3.9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八、车辆通行费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61600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58567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5.2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九、污水处理费收入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47700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79291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-39.8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十、彩票发行机构和彩票销售机构的业务费用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3410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sz w:val="21"/>
                <w:szCs w:val="21"/>
              </w:rPr>
              <w:t>5057</w:t>
            </w: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sz w:val="21"/>
                <w:szCs w:val="21"/>
              </w:rPr>
              <w:t>-32.5</w:t>
            </w: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34" w:type="dxa"/>
            <w:noWrap w:val="0"/>
            <w:vAlign w:val="center"/>
          </w:tcPr>
          <w:p>
            <w:pPr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十一、其他政府性基金收入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286095 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sz w:val="21"/>
                <w:szCs w:val="21"/>
              </w:rPr>
              <w:t>290874</w:t>
            </w: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 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Arial Narrow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sz w:val="21"/>
                <w:szCs w:val="21"/>
              </w:rPr>
              <w:t>-1.6</w:t>
            </w:r>
            <w:r>
              <w:rPr>
                <w:rFonts w:ascii="Times New Roman" w:hAnsi="Times New Roman" w:eastAsia="宋体" w:cs="Arial Narrow"/>
                <w:sz w:val="21"/>
                <w:szCs w:val="21"/>
              </w:rPr>
              <w:t xml:space="preserve"> </w:t>
            </w:r>
          </w:p>
        </w:tc>
      </w:tr>
    </w:tbl>
    <w:p>
      <w:pPr>
        <w:spacing w:line="58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ascii="Times New Roman" w:hAnsi="Times New Roman"/>
        </w:rPr>
        <w:br w:type="page"/>
      </w:r>
      <w:r>
        <w:rPr>
          <w:rFonts w:hint="eastAsia" w:ascii="方正小标宋简体" w:hAnsi="Times New Roman" w:eastAsia="方正小标宋简体"/>
          <w:sz w:val="36"/>
          <w:szCs w:val="36"/>
        </w:rPr>
        <w:t>绍兴市2018年政府性基金预算支出表（草案）</w:t>
      </w:r>
    </w:p>
    <w:p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>
      <w:pPr>
        <w:spacing w:line="580" w:lineRule="exact"/>
        <w:jc w:val="righ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ab/>
      </w:r>
      <w:r>
        <w:rPr>
          <w:rFonts w:hint="eastAsia" w:ascii="黑体" w:hAnsi="黑体" w:eastAsia="黑体"/>
          <w:sz w:val="21"/>
          <w:szCs w:val="21"/>
        </w:rPr>
        <w:tab/>
      </w:r>
      <w:r>
        <w:rPr>
          <w:rFonts w:hint="eastAsia" w:ascii="黑体" w:hAnsi="黑体" w:eastAsia="黑体"/>
          <w:sz w:val="21"/>
          <w:szCs w:val="21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0"/>
        <w:gridCol w:w="1078"/>
        <w:gridCol w:w="1245"/>
        <w:gridCol w:w="957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支出科目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2018年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预算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上年实绩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比上年增长%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同比增长%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4284810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4127676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3.8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18.4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一、社会保障和就业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6990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10053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-30.5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大中型水库移民后期扶持基金支出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5759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8445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-31.8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-31.8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小型水库移民后期扶持基金支出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1231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1608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-23.4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-23.4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二、城乡社区支出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3765368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3396907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10.8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国有土地使用权出让收入及对应专项债务收入安排的支出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3522216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3156489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11.6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城市公用事业附加及对应专项债务收入安排的支出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8101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国有土地收益基金及对应专项债务收入安排的支出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160383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130751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22.7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22.7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农业土地开发资金及对应专项债务收入安排的支出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6328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4738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33.6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城市基础设施配套费及对应专项债务收入安排的安排的支出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27911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18376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51.9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51.9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污水处理费安排的支出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48530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78452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-38.1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-38.1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三、农林水支出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175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332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-47.3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-47.3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大中型水库库区基金及对应专项债务收入安排的支出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175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332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-47.3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-47.3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四、交通运输支出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61600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308409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-80.0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车辆通行费及对应专项债务收入安排的支出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61600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308409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-80.0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五、资源勘探信息等支出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1017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-95.1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-95.1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新型墙体材料专项基金及对应专项债务收入安排的支出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1017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-95.1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-95.1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六、其他支出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321430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320904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0.2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0.2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其他政府性基金及对应专项债务收入安排的支出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293782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292390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0.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0.</w:t>
            </w: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彩票发行销售机构业务费安排的支出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3886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3495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11.2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彩票公益金及对应专项债务收入安排的支出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23761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25019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-5.0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-5.0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七、债务付息及发行费支出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129198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90054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43.5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43.5 </w:t>
            </w:r>
          </w:p>
        </w:tc>
      </w:tr>
    </w:tbl>
    <w:p>
      <w:pPr>
        <w:spacing w:line="580" w:lineRule="exact"/>
        <w:ind w:firstLine="420" w:firstLineChars="200"/>
        <w:rPr>
          <w:rFonts w:ascii="Times New Roman" w:hAnsi="Times New Roman" w:eastAsia="宋体" w:cs="仿宋_GB2312"/>
          <w:kern w:val="0"/>
          <w:sz w:val="21"/>
          <w:szCs w:val="21"/>
        </w:rPr>
      </w:pPr>
      <w:r>
        <w:rPr>
          <w:rFonts w:hint="eastAsia" w:ascii="Times New Roman" w:hAnsi="Times New Roman" w:eastAsia="宋体" w:cs="仿宋_GB2312"/>
          <w:kern w:val="0"/>
          <w:sz w:val="21"/>
          <w:szCs w:val="21"/>
        </w:rPr>
        <w:t>说明：“同比增长”为与上年剔除地方政府专项债券支出的同口径比较。</w:t>
      </w: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ascii="Times New Roman" w:hAnsi="Times New Roman" w:eastAsia="黑体" w:cs="仿宋_GB2312"/>
          <w:kern w:val="0"/>
          <w:szCs w:val="32"/>
        </w:rPr>
        <w:br w:type="page"/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  <w:t>绍兴市区2018年政府性基金预算收入表（草案）</w:t>
      </w: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</w:p>
    <w:p>
      <w:pPr>
        <w:spacing w:line="580" w:lineRule="exact"/>
        <w:jc w:val="right"/>
        <w:rPr>
          <w:rFonts w:ascii="Times New Roman" w:hAnsi="Times New Roman" w:eastAsia="黑体" w:cs="仿宋_GB2312"/>
          <w:kern w:val="0"/>
          <w:sz w:val="24"/>
          <w:szCs w:val="24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5"/>
        <w:gridCol w:w="1365"/>
        <w:gridCol w:w="144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收入科目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2018年预算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上年实绩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合   计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2781595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2337675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一、新型墙体材料专项基金收入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2220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二、城市公用事业附加收入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3859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三、国有土地收益基金收入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107153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97730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四、农业土地开发资金收入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3926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3907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五、国有土地使用权出让金收入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2345360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1860102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六、彩票公益金收入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17380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19448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七、城市基础设施配套费收入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27871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24223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15.1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八、车辆通行费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61600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58567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九、污水处理费收入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28500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59022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-51.7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十、彩票发行机构和彩票销售机构的业务费用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2880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4482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-35.7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59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十一、其他政府性基金收入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186925 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204115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1"/>
                <w:szCs w:val="21"/>
              </w:rPr>
              <w:t>-8.4</w:t>
            </w: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spacing w:line="580" w:lineRule="exact"/>
        <w:rPr>
          <w:rFonts w:ascii="Times New Roman" w:hAnsi="Times New Roman" w:cs="仿宋_GB2312"/>
          <w:kern w:val="0"/>
          <w:sz w:val="24"/>
          <w:szCs w:val="24"/>
        </w:rPr>
      </w:pP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ascii="Times New Roman" w:hAnsi="Times New Roman" w:eastAsia="黑体" w:cs="仿宋_GB2312"/>
          <w:kern w:val="0"/>
          <w:szCs w:val="32"/>
        </w:rPr>
        <w:br w:type="page"/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  <w:t>绍兴市区2018年政府性基金预算支出表（草案）</w:t>
      </w: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</w:p>
    <w:p>
      <w:pPr>
        <w:spacing w:line="580" w:lineRule="exact"/>
        <w:jc w:val="right"/>
        <w:rPr>
          <w:rFonts w:ascii="Times New Roman" w:hAnsi="Times New Roman" w:eastAsia="黑体" w:cs="仿宋_GB2312"/>
          <w:kern w:val="0"/>
          <w:sz w:val="24"/>
          <w:szCs w:val="24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0"/>
        <w:gridCol w:w="943"/>
        <w:gridCol w:w="997"/>
        <w:gridCol w:w="943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支出科目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2018年预算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上年</w:t>
            </w:r>
          </w:p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实绩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比上年增长%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同比增长%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2863930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2278232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25.7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37.8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一、社会保障和就业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2233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2148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3.9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大中型水库移民后期扶持基金支出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2087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2001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4.3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小型水库移民后期扶持基金支出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146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147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-0.7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-0.7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二、城乡社区支出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2519057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1799983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39.9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国有土地使用权出让收入及对应专项债务收入安排的支出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2336842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1618538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44.4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城市公用事业附加及对应专项债务收入安排的支出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6045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国有土地收益基金及对应专项债务收入安排的支出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125211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101456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23.4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农业土地开发资金及对应专项债务收入安排的支出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3643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2667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36.6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36.6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城市基础设施配套费及对应专项债务收入安排的安排的支出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24861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12255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102.9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102.9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污水处理费及对应专项债务收入安排的支出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28500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59022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-51.7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-51.7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三、农林水支出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80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-37.5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大中型水库库区基金及对应专项债务收入安排的支出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80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-37.5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四、交通运输支出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61600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208409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-70.4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车辆通行费及对应专项债务收入安排的支出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61600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208409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-70.4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五、资源勘探信息等支出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394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-87.3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-87.3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新型墙体材料专项基金及对应专项债务收入安排的支出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394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-87.3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-87.3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六、其他支出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214057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205046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4.4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其他政府性基金及对应专项债务收入安排的支出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194549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186147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4.5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彩票发行销售机构业务费安排的支出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3486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3106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12.2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彩票公益金及对应专项债务收入安排的支出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16021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15793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1.4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七、债务付息及发行费支出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66884 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62172 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7.6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7.6 </w:t>
            </w:r>
          </w:p>
        </w:tc>
      </w:tr>
    </w:tbl>
    <w:p>
      <w:pPr>
        <w:spacing w:line="580" w:lineRule="exact"/>
        <w:ind w:firstLine="420" w:firstLineChars="200"/>
        <w:rPr>
          <w:rFonts w:ascii="Times New Roman" w:hAnsi="Times New Roman" w:eastAsia="宋体" w:cs="仿宋_GB2312"/>
          <w:kern w:val="0"/>
          <w:sz w:val="21"/>
          <w:szCs w:val="21"/>
        </w:rPr>
      </w:pPr>
      <w:r>
        <w:rPr>
          <w:rFonts w:hint="eastAsia" w:ascii="Times New Roman" w:hAnsi="Times New Roman" w:eastAsia="宋体" w:cs="仿宋_GB2312"/>
          <w:kern w:val="0"/>
          <w:sz w:val="21"/>
          <w:szCs w:val="21"/>
        </w:rPr>
        <w:t>说明：“同比增长”为与上年剔除地方政府专项债券支出的同口径比较。</w:t>
      </w: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ascii="Times New Roman" w:hAnsi="Times New Roman" w:eastAsia="黑体" w:cs="仿宋_GB2312"/>
          <w:kern w:val="0"/>
          <w:szCs w:val="32"/>
        </w:rPr>
        <w:br w:type="page"/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  <w:t>绍兴市级2018年政府性基金预算收入表（草案）</w:t>
      </w: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</w:p>
    <w:p>
      <w:pPr>
        <w:spacing w:line="580" w:lineRule="exact"/>
        <w:jc w:val="right"/>
        <w:rPr>
          <w:rFonts w:ascii="Times New Roman" w:hAnsi="Times New Roman" w:eastAsia="黑体" w:cs="仿宋_GB2312"/>
          <w:kern w:val="0"/>
          <w:sz w:val="24"/>
          <w:szCs w:val="24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4"/>
        <w:gridCol w:w="1490"/>
        <w:gridCol w:w="136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收入科目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2018年预算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上年实绩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一、本级收入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1389219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1179608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17.8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（一）新型墙体材料专项基金收入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1425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（二）城市公用事业附加收入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1279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（三）国有土地收益基金收入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50353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60381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-16.6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（四）农业土地开发资金收入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1686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1763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-4.4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（五）国有土地使用权出让金收入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1249400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1007178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（六）彩票公益金收入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13800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16114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-14.4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1、福利彩票公益金收入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7300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9219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-20.8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2、体育彩票公益金收入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6500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6896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（七）城市基础设施配套费收入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500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2705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-81.5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（八）车辆通行费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61600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58567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（九）彩票发行机构和彩票销售机构的业务费用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2880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4026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-28.5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（十）其他政府性基金收入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9000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26170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-65.6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二、转移性收入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111641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275375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（一）地方政府债务转贷收入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29267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256592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（二）调入资金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50235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18783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（三）使用结转资金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32139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收入合计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1500860 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1454983 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ascii="Times New Roman" w:hAnsi="Times New Roman" w:eastAsia="黑体" w:cs="仿宋_GB2312"/>
          <w:kern w:val="0"/>
          <w:szCs w:val="32"/>
        </w:rPr>
        <w:t xml:space="preserve"> </w:t>
      </w:r>
      <w:r>
        <w:rPr>
          <w:rFonts w:ascii="Times New Roman" w:hAnsi="Times New Roman" w:eastAsia="黑体" w:cs="仿宋_GB2312"/>
          <w:kern w:val="0"/>
          <w:szCs w:val="32"/>
        </w:rPr>
        <w:br w:type="page"/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仿宋_GB2312"/>
          <w:kern w:val="0"/>
          <w:sz w:val="36"/>
          <w:szCs w:val="36"/>
        </w:rPr>
        <w:t>绍兴市级2018年政府性基金预算支出表（草案）</w:t>
      </w:r>
    </w:p>
    <w:p>
      <w:pPr>
        <w:spacing w:line="580" w:lineRule="exact"/>
        <w:rPr>
          <w:rFonts w:ascii="Times New Roman" w:hAnsi="Times New Roman" w:eastAsia="黑体" w:cs="仿宋_GB2312"/>
          <w:kern w:val="0"/>
          <w:szCs w:val="32"/>
        </w:rPr>
      </w:pP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  <w:r>
        <w:rPr>
          <w:rFonts w:ascii="Times New Roman" w:hAnsi="Times New Roman" w:eastAsia="黑体" w:cs="仿宋_GB2312"/>
          <w:kern w:val="0"/>
          <w:szCs w:val="32"/>
        </w:rPr>
        <w:tab/>
      </w:r>
    </w:p>
    <w:p>
      <w:pPr>
        <w:spacing w:line="580" w:lineRule="exact"/>
        <w:jc w:val="right"/>
        <w:rPr>
          <w:rFonts w:ascii="Times New Roman" w:hAnsi="Times New Roman" w:eastAsia="黑体" w:cs="仿宋_GB2312"/>
          <w:kern w:val="0"/>
          <w:sz w:val="24"/>
          <w:szCs w:val="24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ab/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3"/>
        <w:gridCol w:w="946"/>
        <w:gridCol w:w="945"/>
        <w:gridCol w:w="945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支出科目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2018年预算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上年实绩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比上年增长%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同比增长%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一、本级支出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>736547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>776602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-5.2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27.7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（一）社会保障和就业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294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198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48.4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48.4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大中型水库移民后期扶持基金支出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294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198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48.4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48.4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（二）城乡社区支出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627243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527613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18.9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31.3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国有土地使用权出让收入及对应专项债务收入安排的支出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616823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492332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25.3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城市公用事业附加及对应专项债务收入安排的支出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2119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国有土地收益基金及对应专项债务收入安排的支出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8653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31252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210" w:firstLineChars="100"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-72.3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-72.3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农业土地开发资金及对应专项债务收入安排的支出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1267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796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210" w:firstLineChars="100"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59.2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59.2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城市基础设施配套费及对应专项债务收入安排的安排的支出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500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1114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-55.1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-55.1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（三）交通运输支出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61600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208409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-70.4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车辆通行费及对应专项债务收入安排的支出</w:t>
            </w:r>
          </w:p>
        </w:tc>
        <w:tc>
          <w:tcPr>
            <w:tcW w:w="946" w:type="dxa"/>
            <w:noWrap w:val="0"/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61600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208409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-70.4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（四）资源勘探信息等支出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265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新型墙体材料专项基金及对应专项债务收入安排的支出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265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-100.0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（五）其他支出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19797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21884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-9.5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-9.5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其他政府性基金及对应专项债务收入安排的支出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6000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9338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-35.7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-35.7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彩票发行机构和彩票销售机构的业务费用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3186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2805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13.6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 xml:space="preserve">     彩票公益金及对应专项债务收入安排的支出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10610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9741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8.9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8.9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（六）债务付息及发行费支出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27614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18233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51.5 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二、转移性支出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739779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660165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（一）补助下级支出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710512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471434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（二）地方政府债务还本支出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29267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56592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（三）结转下年支出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 xml:space="preserve">132139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63" w:type="dxa"/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支出合计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1476326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b/>
                <w:bCs/>
                <w:kern w:val="0"/>
                <w:sz w:val="21"/>
                <w:szCs w:val="21"/>
              </w:rPr>
              <w:t xml:space="preserve">1436767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Arial Narrow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580" w:lineRule="exact"/>
        <w:rPr>
          <w:rFonts w:ascii="Times New Roman" w:hAnsi="Times New Roman" w:eastAsia="宋体" w:cs="仿宋_GB2312"/>
          <w:kern w:val="0"/>
          <w:sz w:val="21"/>
          <w:szCs w:val="21"/>
        </w:rPr>
      </w:pPr>
      <w:r>
        <w:rPr>
          <w:rFonts w:hint="eastAsia" w:ascii="Times New Roman" w:hAnsi="Times New Roman" w:eastAsia="宋体" w:cs="仿宋_GB2312"/>
          <w:kern w:val="0"/>
          <w:sz w:val="21"/>
          <w:szCs w:val="21"/>
        </w:rPr>
        <w:t xml:space="preserve">   说明：“同比增长”为与上年剔除地方政府专项债券支出的同口径比较。</w:t>
      </w: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、市级地方政府专项债务限额余额情况</w:t>
      </w:r>
    </w:p>
    <w:p>
      <w:pPr>
        <w:adjustRightInd w:val="0"/>
        <w:snapToGrid w:val="0"/>
        <w:spacing w:line="560" w:lineRule="exact"/>
        <w:ind w:firstLine="6720" w:firstLineChars="2800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单位：</w:t>
      </w:r>
      <w:r>
        <w:rPr>
          <w:rFonts w:hint="eastAsia" w:ascii="Times New Roman" w:hAnsi="Times New Roman" w:eastAsia="黑体" w:cs="仿宋_GB2312"/>
          <w:kern w:val="0"/>
          <w:sz w:val="24"/>
          <w:szCs w:val="24"/>
          <w:lang w:eastAsia="zh-CN"/>
        </w:rPr>
        <w:t>亿</w:t>
      </w:r>
      <w:r>
        <w:rPr>
          <w:rFonts w:hint="eastAsia" w:ascii="Times New Roman" w:hAnsi="Times New Roman" w:eastAsia="黑体" w:cs="仿宋_GB2312"/>
          <w:kern w:val="0"/>
          <w:sz w:val="24"/>
          <w:szCs w:val="24"/>
        </w:rPr>
        <w:t>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9"/>
        <w:gridCol w:w="1305"/>
        <w:gridCol w:w="1035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2017年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2018年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1、2017年地方政府专项债务发行额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  <w:t>25.66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其中：2017年地方政府专项债务新增限额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  <w:t>20.00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2、2017年地方政府专项债务还本额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  <w:t>5.66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3、2017年末地方政府专项债务限额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  <w:t>84.67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4、2018年地方政府专项债务发行额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待省财政厅下达后确定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 xml:space="preserve"> 其中：2018年地方政府专项债务新增限额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待省财政厅下达后预算调整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5、2018年地方政府专项债务还本额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  <w:t>2.93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6、2018年末地方政府专项债务限额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待省财政厅下达后确定</w:t>
            </w:r>
          </w:p>
        </w:tc>
      </w:tr>
    </w:tbl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2017年市级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政府性</w:t>
      </w:r>
      <w:r>
        <w:rPr>
          <w:rFonts w:hint="eastAsia" w:ascii="黑体" w:hAnsi="黑体" w:eastAsia="黑体" w:cs="黑体"/>
          <w:kern w:val="0"/>
          <w:sz w:val="32"/>
          <w:szCs w:val="32"/>
        </w:rPr>
        <w:t>基金专项转移支付执行及2018年预算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安排情况</w:t>
      </w:r>
    </w:p>
    <w:p>
      <w:pPr>
        <w:spacing w:line="58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2017年市级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基金专项转移支付执行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情况表</w:t>
      </w:r>
    </w:p>
    <w:p>
      <w:pPr>
        <w:spacing w:line="58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9"/>
        <w:gridCol w:w="1305"/>
        <w:gridCol w:w="1035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补助单位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执行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数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无数据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年市级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基金专项转移支付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预算表</w:t>
      </w:r>
    </w:p>
    <w:p>
      <w:pPr>
        <w:spacing w:line="580" w:lineRule="exact"/>
        <w:ind w:firstLine="56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9"/>
        <w:gridCol w:w="1305"/>
        <w:gridCol w:w="1035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补助单位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预算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数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29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无数据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Arial Narrow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9" w:type="dxa"/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TJ-PK74820002e1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-BZ-PK748348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KTJ-PK74820002e19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-BZ-PK74820002e1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SJ-PK74820002e21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SJ-PK74820002e2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10325"/>
    <w:rsid w:val="26825F81"/>
    <w:rsid w:val="31AD2742"/>
    <w:rsid w:val="3899310B"/>
    <w:rsid w:val="3ED60F35"/>
    <w:rsid w:val="4AAC4CB3"/>
    <w:rsid w:val="707E4598"/>
    <w:rsid w:val="7AE0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郭泽平</cp:lastModifiedBy>
  <dcterms:modified xsi:type="dcterms:W3CDTF">2022-06-29T10:27:49Z</dcterms:modified>
  <dc:title>全市及市级2017年一般公共预算执行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